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8F2" w:rsidR="00FD68F2" w:rsidP="00FD68F2" w:rsidRDefault="00FD68F2" w14:paraId="3552D244" w14:textId="7A2F32BD">
      <w:pPr>
        <w:ind w:right="-540"/>
        <w:rPr>
          <w:rFonts w:ascii="Times New Roman" w:hAnsi="Times New Roman" w:eastAsia="Times New Roman" w:cs="Times New Roman"/>
          <w:color w:val="000000"/>
          <w:lang w:eastAsia="zh-CN"/>
        </w:rPr>
      </w:pPr>
      <w:r w:rsidRPr="00FD68F2">
        <w:rPr>
          <w:rFonts w:ascii="Calibri" w:hAnsi="Calibri" w:eastAsia="Times New Roman" w:cs="Calibri"/>
          <w:color w:val="000000"/>
          <w:sz w:val="22"/>
          <w:szCs w:val="22"/>
          <w:lang w:eastAsia="zh-CN"/>
        </w:rPr>
        <w:t xml:space="preserve">May </w:t>
      </w:r>
      <w:r w:rsidRPr="005C17DA" w:rsidR="005C17DA">
        <w:rPr>
          <w:rFonts w:ascii="Calibri" w:hAnsi="Calibri" w:eastAsia="Times New Roman" w:cs="Calibri"/>
          <w:color w:val="000000"/>
          <w:sz w:val="22"/>
          <w:szCs w:val="22"/>
          <w:lang w:eastAsia="zh-CN"/>
        </w:rPr>
        <w:t>1</w:t>
      </w:r>
      <w:r w:rsidR="00DD7D11">
        <w:rPr>
          <w:rFonts w:ascii="Calibri" w:hAnsi="Calibri" w:eastAsia="Times New Roman" w:cs="Calibri"/>
          <w:color w:val="000000"/>
          <w:sz w:val="22"/>
          <w:szCs w:val="22"/>
          <w:lang w:eastAsia="zh-CN"/>
        </w:rPr>
        <w:t>8</w:t>
      </w:r>
      <w:r w:rsidRPr="005C17DA">
        <w:rPr>
          <w:rFonts w:ascii="Calibri" w:hAnsi="Calibri" w:eastAsia="Times New Roman" w:cs="Calibri"/>
          <w:color w:val="000000"/>
          <w:sz w:val="22"/>
          <w:szCs w:val="22"/>
          <w:lang w:eastAsia="zh-CN"/>
        </w:rPr>
        <w:t>,</w:t>
      </w:r>
      <w:r w:rsidRPr="00FD68F2">
        <w:rPr>
          <w:rFonts w:ascii="Calibri" w:hAnsi="Calibri" w:eastAsia="Times New Roman" w:cs="Calibri"/>
          <w:color w:val="000000"/>
          <w:sz w:val="22"/>
          <w:szCs w:val="22"/>
          <w:lang w:eastAsia="zh-CN"/>
        </w:rPr>
        <w:t xml:space="preserve"> 2026</w:t>
      </w:r>
    </w:p>
    <w:p w:rsidRPr="00A00DD3" w:rsidR="00FD68F2" w:rsidP="00FD68F2" w:rsidRDefault="00FD68F2" w14:paraId="06AEA873" w14:textId="77777777">
      <w:pPr>
        <w:rPr>
          <w:rFonts w:eastAsia="Times New Roman" w:cstheme="minorHAnsi"/>
          <w:color w:val="000000"/>
          <w:lang w:eastAsia="zh-CN"/>
        </w:rPr>
      </w:pPr>
    </w:p>
    <w:p w:rsidRPr="00A00DD3" w:rsidR="00A00DD3" w:rsidP="00FD68F2" w:rsidRDefault="00FD68F2" w14:paraId="7DF59B87" w14:textId="77777777">
      <w:pPr>
        <w:rPr>
          <w:rFonts w:cstheme="minorHAnsi"/>
          <w:color w:val="333333"/>
          <w:shd w:val="clear" w:color="auto" w:fill="FFFFFF"/>
        </w:rPr>
      </w:pPr>
      <w:r w:rsidRPr="00A00DD3">
        <w:rPr>
          <w:rFonts w:cstheme="minorHAnsi"/>
          <w:color w:val="333333"/>
          <w:shd w:val="clear" w:color="auto" w:fill="FFFFFF"/>
        </w:rPr>
        <w:t>Joe Massman</w:t>
      </w:r>
    </w:p>
    <w:p w:rsidRPr="00A00DD3" w:rsidR="00A00DD3" w:rsidP="00FD68F2" w:rsidRDefault="00FD68F2" w14:paraId="73104CFD" w14:textId="77777777">
      <w:pPr>
        <w:rPr>
          <w:rFonts w:cstheme="minorHAnsi"/>
          <w:color w:val="333333"/>
          <w:shd w:val="clear" w:color="auto" w:fill="FFFFFF"/>
        </w:rPr>
      </w:pPr>
      <w:r w:rsidRPr="00A00DD3">
        <w:rPr>
          <w:rFonts w:cstheme="minorHAnsi"/>
          <w:color w:val="333333"/>
          <w:shd w:val="clear" w:color="auto" w:fill="FFFFFF"/>
        </w:rPr>
        <w:t>Office of Postsecondary Education</w:t>
      </w:r>
    </w:p>
    <w:p w:rsidRPr="00A00DD3" w:rsidR="00A00DD3" w:rsidP="00FD68F2" w:rsidRDefault="00A00DD3" w14:paraId="1D9FB63C" w14:textId="77777777">
      <w:pPr>
        <w:rPr>
          <w:rFonts w:cstheme="minorHAnsi"/>
          <w:color w:val="333333"/>
          <w:shd w:val="clear" w:color="auto" w:fill="FFFFFF"/>
        </w:rPr>
      </w:pPr>
      <w:r w:rsidRPr="00A00DD3">
        <w:rPr>
          <w:rFonts w:cstheme="minorHAnsi"/>
          <w:color w:val="333333"/>
          <w:shd w:val="clear" w:color="auto" w:fill="FFFFFF"/>
        </w:rPr>
        <w:t>U.S. Department of Education</w:t>
      </w:r>
    </w:p>
    <w:p w:rsidRPr="00A00DD3" w:rsidR="00A00DD3" w:rsidP="00FD68F2" w:rsidRDefault="00FD68F2" w14:paraId="4129DC81" w14:textId="77777777">
      <w:pPr>
        <w:rPr>
          <w:rFonts w:cstheme="minorHAnsi"/>
          <w:color w:val="333333"/>
          <w:shd w:val="clear" w:color="auto" w:fill="FFFFFF"/>
        </w:rPr>
      </w:pPr>
      <w:r w:rsidRPr="00A00DD3">
        <w:rPr>
          <w:rFonts w:cstheme="minorHAnsi"/>
          <w:color w:val="333333"/>
          <w:shd w:val="clear" w:color="auto" w:fill="FFFFFF"/>
        </w:rPr>
        <w:t>400 Maryland Ave. SW</w:t>
      </w:r>
    </w:p>
    <w:p w:rsidRPr="00A00DD3" w:rsidR="00FD68F2" w:rsidP="00FD68F2" w:rsidRDefault="00FD68F2" w14:paraId="1C26B781" w14:textId="0B01DA4B">
      <w:pPr>
        <w:rPr>
          <w:rFonts w:cstheme="minorHAnsi"/>
          <w:color w:val="333333"/>
          <w:shd w:val="clear" w:color="auto" w:fill="FFFFFF"/>
        </w:rPr>
      </w:pPr>
      <w:r w:rsidRPr="00A00DD3">
        <w:rPr>
          <w:rFonts w:cstheme="minorHAnsi"/>
          <w:color w:val="333333"/>
          <w:shd w:val="clear" w:color="auto" w:fill="FFFFFF"/>
        </w:rPr>
        <w:t>Washington, DC 20202</w:t>
      </w:r>
    </w:p>
    <w:p w:rsidRPr="00A00DD3" w:rsidR="00FD68F2" w:rsidP="00FD68F2" w:rsidRDefault="00FD68F2" w14:paraId="2A5260C4" w14:textId="77777777">
      <w:pPr>
        <w:rPr>
          <w:rFonts w:eastAsia="Times New Roman" w:cstheme="minorHAnsi"/>
          <w:color w:val="000000"/>
          <w:lang w:eastAsia="zh-CN"/>
        </w:rPr>
      </w:pPr>
    </w:p>
    <w:p w:rsidRPr="00A00DD3" w:rsidR="00FD68F2" w:rsidP="00FD68F2" w:rsidRDefault="00FD68F2" w14:paraId="7580F826" w14:textId="0688A72A">
      <w:pPr>
        <w:ind w:right="-540"/>
        <w:rPr>
          <w:rFonts w:eastAsia="Times New Roman" w:cstheme="minorHAnsi"/>
          <w:color w:val="000000"/>
          <w:lang w:eastAsia="zh-CN"/>
        </w:rPr>
      </w:pPr>
      <w:r w:rsidRPr="00A00DD3">
        <w:rPr>
          <w:rFonts w:eastAsia="Times New Roman" w:cstheme="minorHAnsi"/>
          <w:color w:val="000000"/>
          <w:lang w:eastAsia="zh-CN"/>
        </w:rPr>
        <w:t xml:space="preserve">RE: </w:t>
      </w:r>
      <w:r w:rsidRPr="00A00DD3">
        <w:rPr>
          <w:rFonts w:eastAsia="Cambria" w:cstheme="minorHAnsi"/>
        </w:rPr>
        <w:t>ED-2026-OPE-0100-0001</w:t>
      </w:r>
    </w:p>
    <w:p w:rsidRPr="00A00DD3" w:rsidR="00FD68F2" w:rsidP="00FD68F2" w:rsidRDefault="00FD68F2" w14:paraId="6FBCC8BB" w14:textId="77777777">
      <w:pPr>
        <w:rPr>
          <w:rFonts w:eastAsia="Times New Roman" w:cstheme="minorHAnsi"/>
          <w:color w:val="000000"/>
          <w:lang w:eastAsia="zh-CN"/>
        </w:rPr>
      </w:pPr>
    </w:p>
    <w:p w:rsidRPr="00A00DD3" w:rsidR="00FD68F2" w:rsidP="00FD68F2" w:rsidRDefault="00FD68F2" w14:paraId="386DA299" w14:textId="77777777">
      <w:pPr>
        <w:ind w:right="-540"/>
        <w:rPr>
          <w:rFonts w:eastAsia="Times New Roman" w:cstheme="minorHAnsi"/>
          <w:color w:val="000000"/>
          <w:lang w:eastAsia="zh-CN"/>
        </w:rPr>
      </w:pPr>
      <w:r w:rsidRPr="00A00DD3">
        <w:rPr>
          <w:rFonts w:eastAsia="Times New Roman" w:cstheme="minorHAnsi"/>
          <w:i/>
          <w:iCs/>
          <w:color w:val="000000"/>
          <w:lang w:eastAsia="zh-CN"/>
        </w:rPr>
        <w:t>Submitted via regulations.gov</w:t>
      </w:r>
    </w:p>
    <w:p w:rsidRPr="00A00DD3" w:rsidR="00FD68F2" w:rsidP="00FD68F2" w:rsidRDefault="00FD68F2" w14:paraId="61039A60" w14:textId="77777777">
      <w:pPr>
        <w:rPr>
          <w:rFonts w:eastAsia="Times New Roman" w:cstheme="minorHAnsi"/>
          <w:color w:val="000000"/>
          <w:lang w:eastAsia="zh-CN"/>
        </w:rPr>
      </w:pPr>
    </w:p>
    <w:p w:rsidRPr="00A00DD3" w:rsidR="00FD68F2" w:rsidP="00FD68F2" w:rsidRDefault="00FD68F2" w14:paraId="62464A10" w14:textId="0E1FAC55">
      <w:pPr>
        <w:ind w:right="-540"/>
        <w:rPr>
          <w:rFonts w:eastAsia="Times New Roman" w:cstheme="minorHAnsi"/>
          <w:color w:val="000000"/>
          <w:lang w:eastAsia="zh-CN"/>
        </w:rPr>
      </w:pPr>
      <w:r w:rsidRPr="00A00DD3">
        <w:rPr>
          <w:rFonts w:eastAsia="Times New Roman" w:cstheme="minorHAnsi"/>
          <w:color w:val="000000"/>
          <w:lang w:eastAsia="zh-CN"/>
        </w:rPr>
        <w:t xml:space="preserve">Dear </w:t>
      </w:r>
      <w:r w:rsidRPr="005C17DA">
        <w:rPr>
          <w:rFonts w:eastAsia="Times New Roman" w:cstheme="minorHAnsi"/>
          <w:color w:val="000000"/>
          <w:lang w:eastAsia="zh-CN"/>
        </w:rPr>
        <w:t>Mr</w:t>
      </w:r>
      <w:r w:rsidRPr="005C17DA" w:rsidR="00166B16">
        <w:rPr>
          <w:rFonts w:eastAsia="Times New Roman" w:cstheme="minorHAnsi"/>
          <w:color w:val="000000"/>
          <w:lang w:eastAsia="zh-CN"/>
        </w:rPr>
        <w:t>.</w:t>
      </w:r>
      <w:r w:rsidRPr="005C17DA" w:rsidR="00A00DD3">
        <w:rPr>
          <w:rFonts w:eastAsia="Times New Roman" w:cstheme="minorHAnsi"/>
          <w:color w:val="000000"/>
          <w:lang w:eastAsia="zh-CN"/>
        </w:rPr>
        <w:t xml:space="preserve"> Massman</w:t>
      </w:r>
      <w:r w:rsidRPr="005C17DA" w:rsidR="00C1379C">
        <w:rPr>
          <w:rFonts w:eastAsia="Times New Roman" w:cstheme="minorHAnsi"/>
          <w:color w:val="000000"/>
          <w:lang w:eastAsia="zh-CN"/>
        </w:rPr>
        <w:t>:</w:t>
      </w:r>
    </w:p>
    <w:p w:rsidRPr="00A00DD3" w:rsidR="00C1379C" w:rsidP="00FD68F2" w:rsidRDefault="00C1379C" w14:paraId="50D45423" w14:textId="77777777">
      <w:pPr>
        <w:ind w:right="-540"/>
        <w:rPr>
          <w:rFonts w:eastAsia="Times New Roman" w:cstheme="minorHAnsi"/>
          <w:color w:val="000000"/>
          <w:lang w:eastAsia="zh-CN"/>
        </w:rPr>
      </w:pPr>
    </w:p>
    <w:p w:rsidRPr="00FD68F2" w:rsidR="003B1675" w:rsidP="00FD68F2" w:rsidRDefault="009F2CE4" w14:paraId="21F9D649" w14:textId="5617C059">
      <w:pPr>
        <w:spacing w:line="276" w:lineRule="auto"/>
        <w:rPr>
          <w:rFonts w:eastAsia="Cambria" w:cstheme="minorHAnsi"/>
        </w:rPr>
      </w:pPr>
      <w:r w:rsidRPr="00A00DD3">
        <w:rPr>
          <w:rFonts w:eastAsia="Cambria" w:cstheme="minorHAnsi"/>
        </w:rPr>
        <w:t>Public Co</w:t>
      </w:r>
      <w:r>
        <w:rPr>
          <w:rFonts w:eastAsia="Cambria" w:cstheme="minorHAnsi"/>
        </w:rPr>
        <w:t>mment on the U.S. Department of Education</w:t>
      </w:r>
      <w:r w:rsidR="00466378">
        <w:rPr>
          <w:rFonts w:eastAsia="Cambria" w:cstheme="minorHAnsi"/>
        </w:rPr>
        <w:t xml:space="preserve">’s </w:t>
      </w:r>
      <w:r w:rsidR="00FD68F2">
        <w:rPr>
          <w:rFonts w:eastAsia="Cambria" w:cstheme="minorHAnsi"/>
        </w:rPr>
        <w:t xml:space="preserve">Notice of Proposed Rulemaking of </w:t>
      </w:r>
      <w:r w:rsidR="00466378">
        <w:rPr>
          <w:rFonts w:eastAsia="Cambria" w:cstheme="minorHAnsi"/>
        </w:rPr>
        <w:t>April</w:t>
      </w:r>
      <w:r w:rsidR="001E0E99">
        <w:rPr>
          <w:rFonts w:eastAsia="Cambria" w:cstheme="minorHAnsi"/>
        </w:rPr>
        <w:t xml:space="preserve"> 20,</w:t>
      </w:r>
      <w:r w:rsidR="00466378">
        <w:rPr>
          <w:rFonts w:eastAsia="Cambria" w:cstheme="minorHAnsi"/>
        </w:rPr>
        <w:t xml:space="preserve"> 2026:</w:t>
      </w:r>
      <w:r w:rsidR="00FD68F2">
        <w:rPr>
          <w:rFonts w:eastAsia="Cambria" w:cstheme="minorHAnsi"/>
        </w:rPr>
        <w:t xml:space="preserve"> </w:t>
      </w:r>
      <w:r w:rsidRPr="00466378" w:rsidR="003B1675">
        <w:rPr>
          <w:rFonts w:eastAsia="Cambria" w:cstheme="minorHAnsi"/>
          <w:i/>
          <w:iCs/>
        </w:rPr>
        <w:t>Accountability in Higher Education and Access through Demand-Driven Workforce Pell: Student Tuition and Transparency System and Earnings Accountability</w:t>
      </w:r>
    </w:p>
    <w:p w:rsidRPr="003B1675" w:rsidR="003B1675" w:rsidP="00F125ED" w:rsidRDefault="003B1675" w14:paraId="33C8582E" w14:textId="77777777">
      <w:pPr>
        <w:rPr>
          <w:rFonts w:ascii="Times New Roman" w:hAnsi="Times New Roman" w:eastAsia="Times New Roman" w:cs="Times New Roman"/>
          <w:color w:val="212121"/>
        </w:rPr>
      </w:pPr>
    </w:p>
    <w:p w:rsidRPr="00F27FD2" w:rsidR="00F27FD2" w:rsidP="666D1741" w:rsidRDefault="00A00DD3" w14:paraId="4EA8BA8C" w14:textId="1BAC7AE2">
      <w:r>
        <w:t xml:space="preserve">On behalf of the </w:t>
      </w:r>
      <w:r w:rsidRPr="666D1741" w:rsidR="00F27FD2">
        <w:t xml:space="preserve"> Inclusive Higher Education Committee</w:t>
      </w:r>
      <w:r w:rsidRPr="666D1741" w:rsidR="00FD68F2">
        <w:t xml:space="preserve"> (</w:t>
      </w:r>
      <w:r>
        <w:t>“</w:t>
      </w:r>
      <w:r w:rsidRPr="666D1741" w:rsidR="00FD68F2">
        <w:t>IHEC</w:t>
      </w:r>
      <w:r>
        <w:t>”</w:t>
      </w:r>
      <w:r w:rsidRPr="666D1741" w:rsidR="00FD68F2">
        <w:t>)</w:t>
      </w:r>
      <w:r>
        <w:t xml:space="preserve"> and the organizations listed </w:t>
      </w:r>
      <w:r w:rsidR="00A67501">
        <w:t>below, we</w:t>
      </w:r>
      <w:r>
        <w:t xml:space="preserve"> are</w:t>
      </w:r>
      <w:r w:rsidRPr="666D1741" w:rsidR="00ED6A18">
        <w:t xml:space="preserve"> </w:t>
      </w:r>
      <w:r w:rsidRPr="666D1741" w:rsidR="00F27FD2">
        <w:t>writ</w:t>
      </w:r>
      <w:r>
        <w:t>ing</w:t>
      </w:r>
      <w:r w:rsidRPr="666D1741" w:rsidR="00ED6A18">
        <w:t xml:space="preserve"> in </w:t>
      </w:r>
      <w:r w:rsidRPr="005C17DA" w:rsidR="00ED6A18">
        <w:rPr>
          <w:b/>
          <w:bCs/>
        </w:rPr>
        <w:t xml:space="preserve">support of the </w:t>
      </w:r>
      <w:r w:rsidRPr="005C17DA" w:rsidR="00F27FD2">
        <w:rPr>
          <w:b/>
          <w:bCs/>
        </w:rPr>
        <w:t>Department</w:t>
      </w:r>
      <w:r w:rsidRPr="005C17DA" w:rsidR="00ED6A18">
        <w:rPr>
          <w:b/>
          <w:bCs/>
        </w:rPr>
        <w:t xml:space="preserve">’s </w:t>
      </w:r>
      <w:r w:rsidRPr="005C17DA" w:rsidR="00FD68F2">
        <w:rPr>
          <w:b/>
          <w:bCs/>
        </w:rPr>
        <w:t>proposed</w:t>
      </w:r>
      <w:r w:rsidRPr="005C17DA" w:rsidR="00ED6A18">
        <w:rPr>
          <w:b/>
          <w:bCs/>
        </w:rPr>
        <w:t xml:space="preserve"> language </w:t>
      </w:r>
      <w:r w:rsidRPr="006562D4" w:rsidR="00F27FD2">
        <w:rPr>
          <w:b/>
          <w:bCs/>
        </w:rPr>
        <w:t>exempti</w:t>
      </w:r>
      <w:r w:rsidRPr="006562D4" w:rsidR="006562D4">
        <w:rPr>
          <w:b/>
          <w:bCs/>
        </w:rPr>
        <w:t>ng</w:t>
      </w:r>
      <w:r w:rsidRPr="666D1741" w:rsidR="00F27FD2">
        <w:rPr>
          <w:b/>
          <w:bCs/>
        </w:rPr>
        <w:t xml:space="preserve"> </w:t>
      </w:r>
      <w:r w:rsidRPr="666D1741" w:rsidR="00ED6A18">
        <w:rPr>
          <w:b/>
          <w:bCs/>
        </w:rPr>
        <w:t xml:space="preserve">from the earnings measure </w:t>
      </w:r>
      <w:r w:rsidRPr="666D1741" w:rsidR="00F27FD2">
        <w:rPr>
          <w:b/>
          <w:bCs/>
        </w:rPr>
        <w:t>students enrolled in Comprehensive</w:t>
      </w:r>
      <w:r w:rsidRPr="666D1741" w:rsidR="003F5228">
        <w:rPr>
          <w:b/>
          <w:bCs/>
        </w:rPr>
        <w:t xml:space="preserve"> </w:t>
      </w:r>
      <w:r w:rsidRPr="666D1741" w:rsidR="008C693F">
        <w:rPr>
          <w:b/>
          <w:bCs/>
        </w:rPr>
        <w:t>Postsecondary and</w:t>
      </w:r>
      <w:r w:rsidRPr="666D1741" w:rsidR="00F27FD2">
        <w:rPr>
          <w:b/>
          <w:bCs/>
        </w:rPr>
        <w:t xml:space="preserve"> Transition Programs</w:t>
      </w:r>
      <w:r>
        <w:rPr>
          <w:b/>
          <w:bCs/>
        </w:rPr>
        <w:t xml:space="preserve"> (“CTP Programs”)</w:t>
      </w:r>
      <w:r w:rsidRPr="666D1741" w:rsidR="00ED6A18">
        <w:rPr>
          <w:b/>
          <w:bCs/>
        </w:rPr>
        <w:t>,</w:t>
      </w:r>
      <w:r w:rsidRPr="666D1741" w:rsidR="00F27FD2">
        <w:t xml:space="preserve"> </w:t>
      </w:r>
      <w:r w:rsidRPr="666D1741" w:rsidR="00515A16">
        <w:t xml:space="preserve">as defined </w:t>
      </w:r>
      <w:r w:rsidRPr="666D1741" w:rsidR="00F27FD2">
        <w:t xml:space="preserve">in </w:t>
      </w:r>
      <w:r w:rsidRPr="666D1741" w:rsidR="00515A16">
        <w:t xml:space="preserve">the Higher Education Act (HEA) </w:t>
      </w:r>
      <w:r w:rsidRPr="666D1741" w:rsidR="00F27FD2">
        <w:t xml:space="preserve">section </w:t>
      </w:r>
      <w:r w:rsidR="009F2CE4">
        <w:t>(20 U.S.C. §1140 (1)</w:t>
      </w:r>
      <w:r>
        <w:t xml:space="preserve"> and pursuant to 34 C.F.R. </w:t>
      </w:r>
      <w:r w:rsidRPr="00A00DD3">
        <w:t>§</w:t>
      </w:r>
      <w:r>
        <w:t>668.</w:t>
      </w:r>
      <w:r w:rsidR="00A01254">
        <w:t>231</w:t>
      </w:r>
      <w:r>
        <w:t>(a)</w:t>
      </w:r>
      <w:r w:rsidR="009F2CE4">
        <w:t>)</w:t>
      </w:r>
      <w:r>
        <w:t xml:space="preserve">.  We also </w:t>
      </w:r>
      <w:r w:rsidR="00515A16">
        <w:t xml:space="preserve">suggest </w:t>
      </w:r>
      <w:r w:rsidR="002A247B">
        <w:t>two</w:t>
      </w:r>
      <w:r w:rsidR="00515A16">
        <w:t xml:space="preserve"> </w:t>
      </w:r>
      <w:r>
        <w:t xml:space="preserve">small </w:t>
      </w:r>
      <w:r w:rsidR="002A247B">
        <w:t xml:space="preserve">wording </w:t>
      </w:r>
      <w:r w:rsidR="00515A16">
        <w:t>additions to the proposed language</w:t>
      </w:r>
      <w:r w:rsidR="002A247B">
        <w:t xml:space="preserve"> to add clarity</w:t>
      </w:r>
      <w:r w:rsidR="00515A16">
        <w:t>.</w:t>
      </w:r>
    </w:p>
    <w:p w:rsidR="00F27FD2" w:rsidP="00F125ED" w:rsidRDefault="00F27FD2" w14:paraId="173CA11D" w14:textId="37A9E2BF">
      <w:pPr>
        <w:rPr>
          <w:rFonts w:cstheme="minorHAnsi"/>
        </w:rPr>
      </w:pPr>
    </w:p>
    <w:p w:rsidRPr="00A01254" w:rsidR="00A01254" w:rsidP="00A01254" w:rsidRDefault="00515A16" w14:paraId="645341C8" w14:textId="3283641D">
      <w:pPr>
        <w:rPr>
          <w:color w:val="000000"/>
        </w:rPr>
      </w:pPr>
      <w:r w:rsidRPr="666D1741">
        <w:rPr>
          <w:color w:val="191918"/>
          <w:shd w:val="clear" w:color="auto" w:fill="FFFFFF"/>
        </w:rPr>
        <w:t>The Inclusive Higher Education Committee was established in 200</w:t>
      </w:r>
      <w:r w:rsidRPr="666D1741" w:rsidR="002A247B">
        <w:rPr>
          <w:color w:val="191918"/>
          <w:shd w:val="clear" w:color="auto" w:fill="FFFFFF"/>
        </w:rPr>
        <w:t>6</w:t>
      </w:r>
      <w:r w:rsidRPr="666D1741">
        <w:rPr>
          <w:color w:val="191918"/>
          <w:shd w:val="clear" w:color="auto" w:fill="FFFFFF"/>
        </w:rPr>
        <w:t xml:space="preserve"> to promote inclusive postsecondary opportunities for students with </w:t>
      </w:r>
      <w:r w:rsidRPr="666D1741">
        <w:rPr>
          <w:color w:val="191918"/>
        </w:rPr>
        <w:t xml:space="preserve">intellectual disabilities  </w:t>
      </w:r>
      <w:r w:rsidRPr="666D1741" w:rsidR="002A247B">
        <w:rPr>
          <w:color w:val="191918"/>
          <w:shd w:val="clear" w:color="auto" w:fill="FFFFFF"/>
        </w:rPr>
        <w:t>T</w:t>
      </w:r>
      <w:r w:rsidRPr="666D1741">
        <w:rPr>
          <w:color w:val="191918"/>
          <w:shd w:val="clear" w:color="auto" w:fill="FFFFFF"/>
        </w:rPr>
        <w:t xml:space="preserve">he IHEC collaborated with Congress </w:t>
      </w:r>
      <w:r w:rsidR="00587E7E">
        <w:rPr>
          <w:color w:val="191918"/>
          <w:shd w:val="clear" w:color="auto" w:fill="FFFFFF"/>
        </w:rPr>
        <w:t xml:space="preserve">to draft certain </w:t>
      </w:r>
      <w:r w:rsidRPr="666D1741">
        <w:rPr>
          <w:color w:val="191918"/>
          <w:shd w:val="clear" w:color="auto" w:fill="FFFFFF"/>
        </w:rPr>
        <w:t xml:space="preserve">provisions </w:t>
      </w:r>
      <w:r w:rsidRPr="666D1741" w:rsidR="00624387">
        <w:rPr>
          <w:color w:val="191918"/>
          <w:shd w:val="clear" w:color="auto" w:fill="FFFFFF"/>
        </w:rPr>
        <w:t xml:space="preserve">that were </w:t>
      </w:r>
      <w:r w:rsidR="00587E7E">
        <w:rPr>
          <w:color w:val="191918"/>
          <w:shd w:val="clear" w:color="auto" w:fill="FFFFFF"/>
        </w:rPr>
        <w:t xml:space="preserve">ultimately </w:t>
      </w:r>
      <w:r w:rsidRPr="666D1741" w:rsidR="00624387">
        <w:rPr>
          <w:color w:val="191918"/>
          <w:shd w:val="clear" w:color="auto" w:fill="FFFFFF"/>
        </w:rPr>
        <w:t xml:space="preserve">included </w:t>
      </w:r>
      <w:r w:rsidRPr="666D1741">
        <w:rPr>
          <w:color w:val="191918"/>
          <w:shd w:val="clear" w:color="auto" w:fill="FFFFFF"/>
        </w:rPr>
        <w:t xml:space="preserve">in the Higher Education Opportunity Act of 2008 </w:t>
      </w:r>
      <w:r w:rsidRPr="666D1741" w:rsidR="009401BF">
        <w:rPr>
          <w:color w:val="191918"/>
          <w:shd w:val="clear" w:color="auto" w:fill="FFFFFF"/>
        </w:rPr>
        <w:t>(</w:t>
      </w:r>
      <w:r w:rsidR="00A00DD3">
        <w:rPr>
          <w:color w:val="191918"/>
          <w:shd w:val="clear" w:color="auto" w:fill="FFFFFF"/>
        </w:rPr>
        <w:t>“</w:t>
      </w:r>
      <w:r w:rsidRPr="666D1741" w:rsidR="009401BF">
        <w:rPr>
          <w:color w:val="191918"/>
          <w:shd w:val="clear" w:color="auto" w:fill="FFFFFF"/>
        </w:rPr>
        <w:t>HEOA</w:t>
      </w:r>
      <w:r w:rsidR="00A00DD3">
        <w:rPr>
          <w:color w:val="191918"/>
          <w:shd w:val="clear" w:color="auto" w:fill="FFFFFF"/>
        </w:rPr>
        <w:t>”</w:t>
      </w:r>
      <w:r w:rsidRPr="666D1741" w:rsidR="009401BF">
        <w:rPr>
          <w:color w:val="191918"/>
          <w:shd w:val="clear" w:color="auto" w:fill="FFFFFF"/>
        </w:rPr>
        <w:t xml:space="preserve">) </w:t>
      </w:r>
      <w:r w:rsidR="00C03AD2">
        <w:rPr>
          <w:color w:val="191918"/>
          <w:shd w:val="clear" w:color="auto" w:fill="FFFFFF"/>
        </w:rPr>
        <w:t>and which</w:t>
      </w:r>
      <w:r w:rsidRPr="666D1741" w:rsidR="00C03AD2">
        <w:rPr>
          <w:color w:val="191918"/>
          <w:shd w:val="clear" w:color="auto" w:fill="FFFFFF"/>
        </w:rPr>
        <w:t xml:space="preserve"> </w:t>
      </w:r>
      <w:r w:rsidRPr="666D1741">
        <w:rPr>
          <w:color w:val="191918"/>
          <w:shd w:val="clear" w:color="auto" w:fill="FFFFFF"/>
        </w:rPr>
        <w:t xml:space="preserve">allow students with </w:t>
      </w:r>
      <w:r w:rsidR="00A67501">
        <w:rPr>
          <w:color w:val="191918"/>
          <w:shd w:val="clear" w:color="auto" w:fill="FFFFFF"/>
        </w:rPr>
        <w:t>intellectual</w:t>
      </w:r>
      <w:r w:rsidR="00A00DD3">
        <w:rPr>
          <w:color w:val="191918"/>
          <w:shd w:val="clear" w:color="auto" w:fill="FFFFFF"/>
        </w:rPr>
        <w:t xml:space="preserve"> disabilities</w:t>
      </w:r>
      <w:r w:rsidRPr="666D1741">
        <w:rPr>
          <w:color w:val="191918"/>
          <w:shd w:val="clear" w:color="auto" w:fill="FFFFFF"/>
        </w:rPr>
        <w:t xml:space="preserve"> who are enrolled in </w:t>
      </w:r>
      <w:r w:rsidR="00A00DD3">
        <w:rPr>
          <w:color w:val="191918"/>
          <w:shd w:val="clear" w:color="auto" w:fill="FFFFFF"/>
        </w:rPr>
        <w:t>CTP Programs</w:t>
      </w:r>
      <w:r w:rsidRPr="666D1741">
        <w:rPr>
          <w:color w:val="000000"/>
        </w:rPr>
        <w:t xml:space="preserve"> to access certain </w:t>
      </w:r>
      <w:r w:rsidR="00C03AD2">
        <w:rPr>
          <w:color w:val="000000"/>
        </w:rPr>
        <w:t xml:space="preserve">federal </w:t>
      </w:r>
      <w:r w:rsidRPr="666D1741">
        <w:rPr>
          <w:color w:val="000000"/>
        </w:rPr>
        <w:t>financial aid</w:t>
      </w:r>
      <w:r w:rsidR="00C03AD2">
        <w:rPr>
          <w:color w:val="000000"/>
        </w:rPr>
        <w:t xml:space="preserve"> programs</w:t>
      </w:r>
      <w:r w:rsidRPr="666D1741">
        <w:rPr>
          <w:color w:val="000000"/>
        </w:rPr>
        <w:t xml:space="preserve"> (</w:t>
      </w:r>
      <w:r w:rsidR="00C03AD2">
        <w:rPr>
          <w:color w:val="000000"/>
        </w:rPr>
        <w:t xml:space="preserve">specifically, </w:t>
      </w:r>
      <w:r w:rsidRPr="666D1741">
        <w:rPr>
          <w:color w:val="000000"/>
        </w:rPr>
        <w:t xml:space="preserve">grants and work study jobs, but </w:t>
      </w:r>
      <w:r w:rsidRPr="005C17DA">
        <w:rPr>
          <w:color w:val="000000"/>
          <w:u w:val="single"/>
        </w:rPr>
        <w:t>not</w:t>
      </w:r>
      <w:r w:rsidRPr="666D1741">
        <w:rPr>
          <w:color w:val="000000"/>
        </w:rPr>
        <w:t xml:space="preserve"> loans). </w:t>
      </w:r>
      <w:r w:rsidR="004A3920">
        <w:rPr>
          <w:color w:val="000000"/>
        </w:rPr>
        <w:t xml:space="preserve">For purposes of the CTP Programs, </w:t>
      </w:r>
      <w:r w:rsidR="00A01254">
        <w:rPr>
          <w:color w:val="000000"/>
        </w:rPr>
        <w:t xml:space="preserve">a student with intellectual disability is </w:t>
      </w:r>
      <w:r w:rsidR="000921C1">
        <w:rPr>
          <w:color w:val="000000"/>
        </w:rPr>
        <w:t xml:space="preserve">defined </w:t>
      </w:r>
      <w:r w:rsidR="00A01254">
        <w:rPr>
          <w:color w:val="000000"/>
        </w:rPr>
        <w:t>a</w:t>
      </w:r>
      <w:r w:rsidR="000921C1">
        <w:rPr>
          <w:color w:val="000000"/>
        </w:rPr>
        <w:t>s a</w:t>
      </w:r>
      <w:r w:rsidR="00A01254">
        <w:rPr>
          <w:color w:val="000000"/>
        </w:rPr>
        <w:t xml:space="preserve"> student “[w]</w:t>
      </w:r>
      <w:r w:rsidRPr="00A01254" w:rsidR="00A01254">
        <w:rPr>
          <w:color w:val="000000"/>
        </w:rPr>
        <w:t>ith a cognitive impairment characterized by significant limitations in</w:t>
      </w:r>
      <w:r w:rsidR="00A01254">
        <w:rPr>
          <w:color w:val="000000"/>
        </w:rPr>
        <w:t xml:space="preserve"> </w:t>
      </w:r>
      <w:r w:rsidRPr="00A01254" w:rsidR="00A01254">
        <w:rPr>
          <w:color w:val="000000"/>
        </w:rPr>
        <w:t>(i) Intellectual and cognitive functioning; and</w:t>
      </w:r>
      <w:r w:rsidR="00A01254">
        <w:rPr>
          <w:color w:val="000000"/>
        </w:rPr>
        <w:t xml:space="preserve"> (</w:t>
      </w:r>
      <w:r w:rsidRPr="00A01254" w:rsidR="00A01254">
        <w:rPr>
          <w:color w:val="000000"/>
        </w:rPr>
        <w:t>ii) Adaptive behavior as expressed in conceptual, social, and practical adaptive skills; and</w:t>
      </w:r>
      <w:r w:rsidR="000921C1">
        <w:rPr>
          <w:color w:val="000000"/>
        </w:rPr>
        <w:t xml:space="preserve"> </w:t>
      </w:r>
      <w:r w:rsidRPr="00A01254" w:rsidR="00A01254">
        <w:rPr>
          <w:color w:val="000000"/>
        </w:rPr>
        <w:t xml:space="preserve">(2) </w:t>
      </w:r>
      <w:r w:rsidR="00A01254">
        <w:rPr>
          <w:color w:val="000000"/>
        </w:rPr>
        <w:t>[w]</w:t>
      </w:r>
      <w:r w:rsidRPr="00A01254" w:rsidR="00A01254">
        <w:rPr>
          <w:color w:val="000000"/>
        </w:rPr>
        <w:t xml:space="preserve">ho is currently, or was formerly, eligible </w:t>
      </w:r>
      <w:r w:rsidRPr="00A01254" w:rsidR="00A67501">
        <w:rPr>
          <w:color w:val="000000"/>
        </w:rPr>
        <w:t>for</w:t>
      </w:r>
      <w:r w:rsidRPr="00A01254" w:rsidR="00A01254">
        <w:rPr>
          <w:color w:val="000000"/>
        </w:rPr>
        <w:t xml:space="preserve"> special education and related services under the Individuals with Disabilities Education Act (IDEA) (</w:t>
      </w:r>
      <w:hyperlink w:tgtFrame="_blank" w:history="1" r:id="rId10">
        <w:r w:rsidRPr="00A01254" w:rsidR="00A01254">
          <w:rPr>
            <w:rStyle w:val="Hyperlink"/>
          </w:rPr>
          <w:t>20 U.S.C. 1401</w:t>
        </w:r>
      </w:hyperlink>
      <w:r w:rsidRPr="00A01254" w:rsidR="00A01254">
        <w:rPr>
          <w:color w:val="000000"/>
        </w:rPr>
        <w:t>), including a student who was determined eligible for special education or related services under the IDEA but was home-schooled or attended private school.</w:t>
      </w:r>
      <w:r w:rsidR="00A01254">
        <w:rPr>
          <w:color w:val="000000"/>
        </w:rPr>
        <w:t xml:space="preserve">” 34 C.F.R. </w:t>
      </w:r>
      <w:r w:rsidRPr="00A01254" w:rsidR="00A01254">
        <w:rPr>
          <w:color w:val="000000"/>
        </w:rPr>
        <w:t>§668.231(</w:t>
      </w:r>
      <w:r w:rsidR="003A56B7">
        <w:rPr>
          <w:color w:val="000000"/>
        </w:rPr>
        <w:t>b</w:t>
      </w:r>
      <w:r w:rsidRPr="00A01254" w:rsidR="00A01254">
        <w:rPr>
          <w:color w:val="000000"/>
        </w:rPr>
        <w:t>)</w:t>
      </w:r>
      <w:r w:rsidR="00A01254">
        <w:rPr>
          <w:color w:val="000000"/>
        </w:rPr>
        <w:t>.</w:t>
      </w:r>
    </w:p>
    <w:p w:rsidR="00A01254" w:rsidP="666D1741" w:rsidRDefault="00A01254" w14:paraId="14E3464C" w14:textId="19AB1D7E">
      <w:pPr>
        <w:rPr>
          <w:color w:val="000000"/>
        </w:rPr>
      </w:pPr>
      <w:r>
        <w:rPr>
          <w:color w:val="000000"/>
        </w:rPr>
        <w:t xml:space="preserve"> </w:t>
      </w:r>
    </w:p>
    <w:p w:rsidR="00515A16" w:rsidP="666D1741" w:rsidRDefault="009401BF" w14:paraId="1EC5745E" w14:textId="51D71F34">
      <w:pPr>
        <w:rPr>
          <w:color w:val="191918"/>
          <w:shd w:val="clear" w:color="auto" w:fill="FFFFFF"/>
        </w:rPr>
      </w:pPr>
      <w:r w:rsidRPr="666D1741">
        <w:rPr>
          <w:color w:val="000000"/>
        </w:rPr>
        <w:t xml:space="preserve">The HEOA also authorized model programs and </w:t>
      </w:r>
      <w:r w:rsidR="00A00DD3">
        <w:rPr>
          <w:color w:val="000000"/>
        </w:rPr>
        <w:t xml:space="preserve">the establishment of </w:t>
      </w:r>
      <w:r w:rsidRPr="666D1741">
        <w:rPr>
          <w:color w:val="000000"/>
        </w:rPr>
        <w:t xml:space="preserve">a national coordinating center. </w:t>
      </w:r>
      <w:r w:rsidRPr="666D1741" w:rsidR="00515A16">
        <w:rPr>
          <w:color w:val="191918"/>
          <w:shd w:val="clear" w:color="auto" w:fill="FFFFFF"/>
        </w:rPr>
        <w:t>Over the years, the IHEC has collabor</w:t>
      </w:r>
      <w:r w:rsidRPr="666D1741">
        <w:rPr>
          <w:color w:val="191918"/>
          <w:shd w:val="clear" w:color="auto" w:fill="FFFFFF"/>
        </w:rPr>
        <w:t>a</w:t>
      </w:r>
      <w:r w:rsidRPr="666D1741" w:rsidR="00515A16">
        <w:rPr>
          <w:color w:val="191918"/>
          <w:shd w:val="clear" w:color="auto" w:fill="FFFFFF"/>
        </w:rPr>
        <w:t xml:space="preserve">ted with the U.S. Department of Education </w:t>
      </w:r>
      <w:r w:rsidRPr="666D1741">
        <w:rPr>
          <w:color w:val="191918"/>
          <w:shd w:val="clear" w:color="auto" w:fill="FFFFFF"/>
        </w:rPr>
        <w:t xml:space="preserve">(ED) regarding ED guidance and regulations, </w:t>
      </w:r>
      <w:r w:rsidRPr="666D1741" w:rsidR="00624387">
        <w:rPr>
          <w:color w:val="191918"/>
          <w:shd w:val="clear" w:color="auto" w:fill="FFFFFF"/>
        </w:rPr>
        <w:t xml:space="preserve">and with Congress on </w:t>
      </w:r>
      <w:r w:rsidRPr="666D1741">
        <w:rPr>
          <w:color w:val="191918"/>
          <w:shd w:val="clear" w:color="auto" w:fill="FFFFFF"/>
        </w:rPr>
        <w:t>appropriations and proposed revisions to the HEA</w:t>
      </w:r>
      <w:r w:rsidR="005B727B">
        <w:rPr>
          <w:color w:val="191918"/>
          <w:shd w:val="clear" w:color="auto" w:fill="FFFFFF"/>
        </w:rPr>
        <w:t xml:space="preserve"> </w:t>
      </w:r>
      <w:r w:rsidR="00A00DD3">
        <w:rPr>
          <w:color w:val="191918"/>
          <w:shd w:val="clear" w:color="auto" w:fill="FFFFFF"/>
        </w:rPr>
        <w:t>pertaining to CTP Programs.</w:t>
      </w:r>
      <w:r w:rsidRPr="666D1741" w:rsidR="00515A16">
        <w:rPr>
          <w:color w:val="191918"/>
          <w:shd w:val="clear" w:color="auto" w:fill="FFFFFF"/>
        </w:rPr>
        <w:t xml:space="preserve"> </w:t>
      </w:r>
    </w:p>
    <w:p w:rsidRPr="00515A16" w:rsidR="009401BF" w:rsidP="00515A16" w:rsidRDefault="009401BF" w14:paraId="1D80E227" w14:textId="77777777">
      <w:pPr>
        <w:rPr>
          <w:rFonts w:cstheme="minorHAnsi"/>
          <w:color w:val="191918"/>
          <w:shd w:val="clear" w:color="auto" w:fill="FFFFFF"/>
        </w:rPr>
      </w:pPr>
    </w:p>
    <w:p w:rsidR="00E5789B" w:rsidP="007A3B78" w:rsidRDefault="009401BF" w14:paraId="1D7093B8" w14:textId="3B0CD309">
      <w:r w:rsidRPr="666D1741">
        <w:t>CTP Programs were created by Congress to address a speci</w:t>
      </w:r>
      <w:r w:rsidRPr="666D1741" w:rsidR="00624387">
        <w:t>f</w:t>
      </w:r>
      <w:r w:rsidRPr="666D1741">
        <w:t>ic need for educational opportunities for</w:t>
      </w:r>
      <w:r w:rsidRPr="666D1741" w:rsidR="00BC7D01">
        <w:t xml:space="preserve"> </w:t>
      </w:r>
      <w:r w:rsidRPr="666D1741">
        <w:t xml:space="preserve">students with </w:t>
      </w:r>
      <w:r w:rsidR="004A3920">
        <w:t xml:space="preserve">intellectual </w:t>
      </w:r>
      <w:r w:rsidR="00273052">
        <w:t>d</w:t>
      </w:r>
      <w:r w:rsidR="004A3920">
        <w:t>isabilities</w:t>
      </w:r>
      <w:r w:rsidRPr="666D1741">
        <w:t xml:space="preserve">. </w:t>
      </w:r>
      <w:r w:rsidRPr="666D1741" w:rsidR="00BC7D01">
        <w:t>These programs provide inclusive academic, vocational, and independent living instruction, enabling students to participate in college life while working toward career goals.</w:t>
      </w:r>
      <w:r w:rsidR="007A3B78">
        <w:t xml:space="preserve"> </w:t>
      </w:r>
      <w:r w:rsidRPr="666D1741">
        <w:t xml:space="preserve">Because </w:t>
      </w:r>
      <w:r w:rsidR="00A01254">
        <w:t>CTP Programs</w:t>
      </w:r>
      <w:r w:rsidRPr="666D1741">
        <w:t xml:space="preserve"> differ in important ways from other</w:t>
      </w:r>
      <w:r w:rsidRPr="666D1741" w:rsidR="00BC7D01">
        <w:t xml:space="preserve"> </w:t>
      </w:r>
      <w:r w:rsidRPr="666D1741">
        <w:t>postsecondary educational programs, they require a different approach under</w:t>
      </w:r>
      <w:r w:rsidRPr="666D1741" w:rsidR="00BC7D01">
        <w:t xml:space="preserve"> </w:t>
      </w:r>
      <w:r w:rsidRPr="666D1741">
        <w:t>federal accountability measures.</w:t>
      </w:r>
      <w:r w:rsidRPr="666D1741" w:rsidR="00B24657">
        <w:t xml:space="preserve"> </w:t>
      </w:r>
      <w:r w:rsidRPr="666D1741">
        <w:t xml:space="preserve">This is recognized in current law and regulations. CTP </w:t>
      </w:r>
      <w:r w:rsidR="00A01254">
        <w:t xml:space="preserve">Programs </w:t>
      </w:r>
      <w:r w:rsidR="00DE029B">
        <w:t>must meet</w:t>
      </w:r>
      <w:r w:rsidRPr="666D1741">
        <w:t xml:space="preserve"> separate</w:t>
      </w:r>
      <w:r w:rsidRPr="666D1741" w:rsidR="002A247B">
        <w:t xml:space="preserve"> </w:t>
      </w:r>
      <w:r w:rsidRPr="666D1741">
        <w:t xml:space="preserve">eligibility criteria and Title IV participation rules. </w:t>
      </w:r>
      <w:r w:rsidR="00743EC0">
        <w:t xml:space="preserve">As set forth by 20 U.S.C. </w:t>
      </w:r>
      <w:r w:rsidRPr="00E5789B" w:rsidR="00E5789B">
        <w:t>§1140(1)</w:t>
      </w:r>
      <w:r w:rsidR="00E5789B">
        <w:t xml:space="preserve"> and</w:t>
      </w:r>
      <w:r w:rsidR="00743EC0">
        <w:t xml:space="preserve"> </w:t>
      </w:r>
      <w:r w:rsidRPr="00743EC0" w:rsidR="00743EC0">
        <w:t>34 C.F.R. §668.231(a)</w:t>
      </w:r>
      <w:r w:rsidR="00743EC0">
        <w:t xml:space="preserve">, </w:t>
      </w:r>
      <w:r w:rsidRPr="666D1741">
        <w:t xml:space="preserve"> CTP program </w:t>
      </w:r>
      <w:r w:rsidR="00E5789B">
        <w:t xml:space="preserve">is </w:t>
      </w:r>
      <w:r w:rsidRPr="666D1741">
        <w:t xml:space="preserve"> “a degree, certi</w:t>
      </w:r>
      <w:r w:rsidRPr="666D1741" w:rsidR="00624387">
        <w:t>f</w:t>
      </w:r>
      <w:r w:rsidRPr="666D1741">
        <w:t>icate, or nondegree program”</w:t>
      </w:r>
      <w:r w:rsidRPr="666D1741" w:rsidR="00B24657">
        <w:t xml:space="preserve"> </w:t>
      </w:r>
      <w:r w:rsidRPr="666D1741">
        <w:t xml:space="preserve">that meets certain criteria and allows students with </w:t>
      </w:r>
      <w:r w:rsidR="00E5789B">
        <w:t>intellectual disabilities</w:t>
      </w:r>
      <w:r w:rsidRPr="666D1741">
        <w:t xml:space="preserve"> to access federal </w:t>
      </w:r>
      <w:r w:rsidRPr="666D1741" w:rsidR="00624387">
        <w:t>f</w:t>
      </w:r>
      <w:r w:rsidRPr="666D1741">
        <w:t xml:space="preserve">inancial aid. </w:t>
      </w:r>
      <w:r w:rsidR="00E5789B">
        <w:t xml:space="preserve">ED </w:t>
      </w:r>
      <w:r w:rsidRPr="666D1741">
        <w:t>regulations require CTP</w:t>
      </w:r>
      <w:r w:rsidRPr="666D1741" w:rsidR="00B24657">
        <w:t xml:space="preserve"> </w:t>
      </w:r>
      <w:r w:rsidR="00E5789B">
        <w:t>Programs</w:t>
      </w:r>
      <w:r w:rsidRPr="666D1741">
        <w:t xml:space="preserve"> to be approved by </w:t>
      </w:r>
      <w:r w:rsidRPr="666D1741" w:rsidR="00BC7D01">
        <w:t xml:space="preserve">the </w:t>
      </w:r>
      <w:r w:rsidR="00E5789B">
        <w:t xml:space="preserve">Department </w:t>
      </w:r>
      <w:proofErr w:type="gramStart"/>
      <w:r w:rsidRPr="666D1741">
        <w:t>in order for</w:t>
      </w:r>
      <w:proofErr w:type="gramEnd"/>
      <w:r w:rsidRPr="666D1741">
        <w:t xml:space="preserve"> the students to apply for </w:t>
      </w:r>
      <w:r w:rsidRPr="666D1741" w:rsidR="00624387">
        <w:t>f</w:t>
      </w:r>
      <w:r w:rsidRPr="666D1741">
        <w:t>inancial</w:t>
      </w:r>
      <w:r w:rsidRPr="666D1741" w:rsidR="00B24657">
        <w:t xml:space="preserve"> </w:t>
      </w:r>
      <w:r w:rsidRPr="666D1741">
        <w:t>aid.</w:t>
      </w:r>
      <w:r w:rsidR="00E5789B">
        <w:t xml:space="preserve"> </w:t>
      </w:r>
      <w:r w:rsidRPr="003A56B7" w:rsidR="003A56B7">
        <w:t>34 C.F.R. §668.23</w:t>
      </w:r>
      <w:r w:rsidR="003A56B7">
        <w:t>2.</w:t>
      </w:r>
    </w:p>
    <w:p w:rsidR="00E5789B" w:rsidP="22A59B73" w:rsidRDefault="00E5789B" w14:paraId="7164CBE9" w14:textId="77777777">
      <w:pPr>
        <w:pStyle w:val="p1"/>
        <w:rPr>
          <w:rFonts w:asciiTheme="minorHAnsi" w:hAnsiTheme="minorHAnsi" w:cstheme="minorBidi"/>
          <w:sz w:val="24"/>
          <w:szCs w:val="24"/>
        </w:rPr>
      </w:pPr>
    </w:p>
    <w:p w:rsidRPr="00B24657" w:rsidR="00BC7D01" w:rsidP="22A59B73" w:rsidRDefault="00BC7D01" w14:paraId="1A208714" w14:textId="21AA272C">
      <w:pPr>
        <w:pStyle w:val="p1"/>
        <w:rPr>
          <w:rFonts w:asciiTheme="minorHAnsi" w:hAnsiTheme="minorHAnsi" w:cstheme="minorBidi"/>
          <w:sz w:val="24"/>
          <w:szCs w:val="24"/>
        </w:rPr>
      </w:pPr>
      <w:r w:rsidRPr="666D1741">
        <w:rPr>
          <w:rFonts w:asciiTheme="minorHAnsi" w:hAnsiTheme="minorHAnsi" w:cstheme="minorBidi"/>
          <w:color w:val="212121"/>
          <w:sz w:val="24"/>
          <w:szCs w:val="24"/>
        </w:rPr>
        <w:t>According to the Office of Federal Student Aid</w:t>
      </w:r>
      <w:r w:rsidR="00E5789B">
        <w:rPr>
          <w:rFonts w:asciiTheme="minorHAnsi" w:hAnsiTheme="minorHAnsi" w:cstheme="minorBidi"/>
          <w:color w:val="212121"/>
          <w:sz w:val="24"/>
          <w:szCs w:val="24"/>
        </w:rPr>
        <w:t xml:space="preserve"> (“FSA”)</w:t>
      </w:r>
      <w:r w:rsidRPr="666D1741">
        <w:rPr>
          <w:rFonts w:asciiTheme="minorHAnsi" w:hAnsiTheme="minorHAnsi" w:cstheme="minorBidi"/>
          <w:color w:val="212121"/>
          <w:sz w:val="24"/>
          <w:szCs w:val="24"/>
        </w:rPr>
        <w:t xml:space="preserve">, in 2026, 175 CTP programs </w:t>
      </w:r>
      <w:r w:rsidRPr="666D1741" w:rsidR="4FC0D541">
        <w:rPr>
          <w:rFonts w:asciiTheme="minorHAnsi" w:hAnsiTheme="minorHAnsi" w:cstheme="minorBidi"/>
          <w:color w:val="212121"/>
          <w:sz w:val="24"/>
          <w:szCs w:val="24"/>
        </w:rPr>
        <w:t xml:space="preserve">in 42 states </w:t>
      </w:r>
      <w:r w:rsidRPr="666D1741">
        <w:rPr>
          <w:rFonts w:asciiTheme="minorHAnsi" w:hAnsiTheme="minorHAnsi" w:cstheme="minorBidi"/>
          <w:color w:val="212121"/>
          <w:sz w:val="24"/>
          <w:szCs w:val="24"/>
        </w:rPr>
        <w:t xml:space="preserve">are approved by the Department to participate in Federal Student Aid Programs. </w:t>
      </w:r>
      <w:r w:rsidRPr="666D1741" w:rsidR="009401BF">
        <w:rPr>
          <w:rFonts w:asciiTheme="minorHAnsi" w:hAnsiTheme="minorHAnsi" w:cstheme="minorBidi"/>
          <w:sz w:val="24"/>
          <w:szCs w:val="24"/>
        </w:rPr>
        <w:t xml:space="preserve">Eligible students in CTP </w:t>
      </w:r>
      <w:r w:rsidR="00E5789B">
        <w:rPr>
          <w:rFonts w:asciiTheme="minorHAnsi" w:hAnsiTheme="minorHAnsi" w:cstheme="minorBidi"/>
          <w:sz w:val="24"/>
          <w:szCs w:val="24"/>
        </w:rPr>
        <w:t>P</w:t>
      </w:r>
      <w:r w:rsidRPr="666D1741" w:rsidR="009401BF">
        <w:rPr>
          <w:rFonts w:asciiTheme="minorHAnsi" w:hAnsiTheme="minorHAnsi" w:cstheme="minorBidi"/>
          <w:sz w:val="24"/>
          <w:szCs w:val="24"/>
        </w:rPr>
        <w:t>rograms can access Pell grants, Federal Work-</w:t>
      </w:r>
      <w:r w:rsidRPr="666D1741" w:rsidR="009401BF">
        <w:rPr>
          <w:rStyle w:val="s1"/>
          <w:rFonts w:asciiTheme="minorHAnsi" w:hAnsiTheme="minorHAnsi" w:cstheme="minorBidi"/>
          <w:sz w:val="24"/>
          <w:szCs w:val="24"/>
        </w:rPr>
        <w:t xml:space="preserve">Study, and </w:t>
      </w:r>
      <w:r w:rsidRPr="666D1741" w:rsidR="009401BF">
        <w:rPr>
          <w:rFonts w:asciiTheme="minorHAnsi" w:hAnsiTheme="minorHAnsi" w:cstheme="minorBidi"/>
          <w:sz w:val="24"/>
          <w:szCs w:val="24"/>
        </w:rPr>
        <w:t>Supplemental Education Opportunity Grants (SEOGs), but are not able</w:t>
      </w:r>
      <w:r w:rsidRPr="666D1741">
        <w:rPr>
          <w:rFonts w:asciiTheme="minorHAnsi" w:hAnsiTheme="minorHAnsi" w:cstheme="minorBidi"/>
          <w:color w:val="212121"/>
          <w:sz w:val="24"/>
          <w:szCs w:val="24"/>
        </w:rPr>
        <w:t xml:space="preserve"> </w:t>
      </w:r>
      <w:r w:rsidRPr="666D1741" w:rsidR="009401BF">
        <w:rPr>
          <w:rStyle w:val="s2"/>
          <w:rFonts w:asciiTheme="minorHAnsi" w:hAnsiTheme="minorHAnsi" w:cstheme="minorBidi"/>
          <w:sz w:val="24"/>
          <w:szCs w:val="24"/>
        </w:rPr>
        <w:t>to access federal student loans.</w:t>
      </w:r>
      <w:r w:rsidRPr="666D1741" w:rsidR="009401BF">
        <w:rPr>
          <w:rFonts w:asciiTheme="minorHAnsi" w:hAnsiTheme="minorHAnsi" w:cstheme="minorBidi"/>
          <w:sz w:val="24"/>
          <w:szCs w:val="24"/>
        </w:rPr>
        <w:t xml:space="preserve"> </w:t>
      </w:r>
      <w:r w:rsidRPr="666D1741">
        <w:rPr>
          <w:rFonts w:asciiTheme="minorHAnsi" w:hAnsiTheme="minorHAnsi" w:cstheme="minorBidi"/>
          <w:sz w:val="24"/>
          <w:szCs w:val="24"/>
        </w:rPr>
        <w:t xml:space="preserve">Nationwide, </w:t>
      </w:r>
      <w:r w:rsidRPr="666D1741" w:rsidR="29E990F6">
        <w:rPr>
          <w:rFonts w:asciiTheme="minorHAnsi" w:hAnsiTheme="minorHAnsi" w:cstheme="minorBidi"/>
          <w:sz w:val="24"/>
          <w:szCs w:val="24"/>
        </w:rPr>
        <w:t xml:space="preserve">according to the FSA data from </w:t>
      </w:r>
      <w:r w:rsidRPr="666D1741">
        <w:rPr>
          <w:rFonts w:asciiTheme="minorHAnsi" w:hAnsiTheme="minorHAnsi" w:cstheme="minorBidi"/>
          <w:sz w:val="24"/>
          <w:szCs w:val="24"/>
        </w:rPr>
        <w:t>the 202</w:t>
      </w:r>
      <w:r w:rsidRPr="666D1741" w:rsidR="5D614900">
        <w:rPr>
          <w:rFonts w:asciiTheme="minorHAnsi" w:hAnsiTheme="minorHAnsi" w:cstheme="minorBidi"/>
          <w:sz w:val="24"/>
          <w:szCs w:val="24"/>
        </w:rPr>
        <w:t>4</w:t>
      </w:r>
      <w:r w:rsidRPr="666D1741">
        <w:rPr>
          <w:rFonts w:asciiTheme="minorHAnsi" w:hAnsiTheme="minorHAnsi" w:cstheme="minorBidi"/>
          <w:sz w:val="24"/>
          <w:szCs w:val="24"/>
        </w:rPr>
        <w:t>-202</w:t>
      </w:r>
      <w:r w:rsidRPr="666D1741" w:rsidR="1D93F3E4">
        <w:rPr>
          <w:rFonts w:asciiTheme="minorHAnsi" w:hAnsiTheme="minorHAnsi" w:cstheme="minorBidi"/>
          <w:sz w:val="24"/>
          <w:szCs w:val="24"/>
        </w:rPr>
        <w:t>5</w:t>
      </w:r>
      <w:r w:rsidRPr="666D1741" w:rsidR="5EA70480">
        <w:rPr>
          <w:rFonts w:asciiTheme="minorHAnsi" w:hAnsiTheme="minorHAnsi" w:cstheme="minorBidi"/>
          <w:sz w:val="24"/>
          <w:szCs w:val="24"/>
        </w:rPr>
        <w:t xml:space="preserve"> </w:t>
      </w:r>
      <w:r w:rsidRPr="666D1741">
        <w:rPr>
          <w:rFonts w:asciiTheme="minorHAnsi" w:hAnsiTheme="minorHAnsi" w:cstheme="minorBidi"/>
          <w:sz w:val="24"/>
          <w:szCs w:val="24"/>
        </w:rPr>
        <w:t xml:space="preserve">academic year, </w:t>
      </w:r>
      <w:r w:rsidRPr="666D1741" w:rsidR="6D0684C3">
        <w:rPr>
          <w:rFonts w:asciiTheme="minorHAnsi" w:hAnsiTheme="minorHAnsi" w:cstheme="minorBidi"/>
          <w:sz w:val="24"/>
          <w:szCs w:val="24"/>
        </w:rPr>
        <w:t xml:space="preserve">1059 </w:t>
      </w:r>
      <w:r w:rsidRPr="666D1741">
        <w:rPr>
          <w:rFonts w:asciiTheme="minorHAnsi" w:hAnsiTheme="minorHAnsi" w:cstheme="minorBidi"/>
          <w:sz w:val="24"/>
          <w:szCs w:val="24"/>
        </w:rPr>
        <w:t xml:space="preserve">students were eligible for Federal </w:t>
      </w:r>
      <w:r w:rsidR="00E5789B">
        <w:rPr>
          <w:rFonts w:asciiTheme="minorHAnsi" w:hAnsiTheme="minorHAnsi" w:cstheme="minorBidi"/>
          <w:sz w:val="24"/>
          <w:szCs w:val="24"/>
        </w:rPr>
        <w:t>s</w:t>
      </w:r>
      <w:r w:rsidRPr="666D1741">
        <w:rPr>
          <w:rFonts w:asciiTheme="minorHAnsi" w:hAnsiTheme="minorHAnsi" w:cstheme="minorBidi"/>
          <w:sz w:val="24"/>
          <w:szCs w:val="24"/>
        </w:rPr>
        <w:t xml:space="preserve">tudent </w:t>
      </w:r>
      <w:r w:rsidR="00E5789B">
        <w:rPr>
          <w:rFonts w:asciiTheme="minorHAnsi" w:hAnsiTheme="minorHAnsi" w:cstheme="minorBidi"/>
          <w:sz w:val="24"/>
          <w:szCs w:val="24"/>
        </w:rPr>
        <w:t>a</w:t>
      </w:r>
      <w:r w:rsidRPr="666D1741">
        <w:rPr>
          <w:rFonts w:asciiTheme="minorHAnsi" w:hAnsiTheme="minorHAnsi" w:cstheme="minorBidi"/>
          <w:sz w:val="24"/>
          <w:szCs w:val="24"/>
        </w:rPr>
        <w:t xml:space="preserve">id </w:t>
      </w:r>
      <w:r w:rsidR="002B5408">
        <w:rPr>
          <w:rFonts w:asciiTheme="minorHAnsi" w:hAnsiTheme="minorHAnsi" w:cstheme="minorBidi"/>
          <w:sz w:val="24"/>
          <w:szCs w:val="24"/>
        </w:rPr>
        <w:t xml:space="preserve">while </w:t>
      </w:r>
      <w:r w:rsidRPr="666D1741">
        <w:rPr>
          <w:rFonts w:asciiTheme="minorHAnsi" w:hAnsiTheme="minorHAnsi" w:cstheme="minorBidi"/>
          <w:sz w:val="24"/>
          <w:szCs w:val="24"/>
        </w:rPr>
        <w:t>attending approved CTP</w:t>
      </w:r>
      <w:r w:rsidR="00E5789B">
        <w:rPr>
          <w:rFonts w:asciiTheme="minorHAnsi" w:hAnsiTheme="minorHAnsi" w:cstheme="minorBidi"/>
          <w:sz w:val="24"/>
          <w:szCs w:val="24"/>
        </w:rPr>
        <w:t xml:space="preserve"> Programs</w:t>
      </w:r>
      <w:r w:rsidR="002B5408">
        <w:rPr>
          <w:rFonts w:asciiTheme="minorHAnsi" w:hAnsiTheme="minorHAnsi" w:cstheme="minorBidi"/>
          <w:sz w:val="24"/>
          <w:szCs w:val="24"/>
        </w:rPr>
        <w:t xml:space="preserve">. Those students </w:t>
      </w:r>
      <w:r w:rsidRPr="666D1741">
        <w:rPr>
          <w:rFonts w:asciiTheme="minorHAnsi" w:hAnsiTheme="minorHAnsi" w:cstheme="minorBidi"/>
          <w:sz w:val="24"/>
          <w:szCs w:val="24"/>
        </w:rPr>
        <w:t>received:</w:t>
      </w:r>
      <w:r w:rsidR="00E5789B">
        <w:rPr>
          <w:rFonts w:asciiTheme="minorHAnsi" w:hAnsiTheme="minorHAnsi" w:cstheme="minorBidi"/>
          <w:sz w:val="24"/>
          <w:szCs w:val="24"/>
        </w:rPr>
        <w:t xml:space="preserve"> </w:t>
      </w:r>
      <w:r w:rsidRPr="666D1741">
        <w:rPr>
          <w:rFonts w:asciiTheme="minorHAnsi" w:hAnsiTheme="minorHAnsi" w:cstheme="minorBidi"/>
          <w:sz w:val="24"/>
          <w:szCs w:val="24"/>
        </w:rPr>
        <w:t xml:space="preserve"> </w:t>
      </w:r>
    </w:p>
    <w:p w:rsidRPr="00B24657" w:rsidR="00BC7D01" w:rsidP="22A59B73" w:rsidRDefault="00BC7D01" w14:paraId="6CEAC1A3" w14:textId="0C31138D">
      <w:pPr>
        <w:pStyle w:val="Default"/>
        <w:numPr>
          <w:ilvl w:val="1"/>
          <w:numId w:val="2"/>
        </w:numPr>
        <w:spacing w:after="53"/>
        <w:rPr>
          <w:rFonts w:asciiTheme="minorHAnsi" w:hAnsiTheme="minorHAnsi" w:cstheme="minorBidi"/>
        </w:rPr>
      </w:pPr>
      <w:r w:rsidRPr="22A59B73">
        <w:rPr>
          <w:rFonts w:asciiTheme="minorHAnsi" w:hAnsiTheme="minorHAnsi" w:cstheme="minorBidi"/>
        </w:rPr>
        <w:t>$</w:t>
      </w:r>
      <w:r w:rsidRPr="22A59B73" w:rsidR="1CBC5C43">
        <w:rPr>
          <w:rFonts w:asciiTheme="minorHAnsi" w:hAnsiTheme="minorHAnsi" w:cstheme="minorBidi"/>
        </w:rPr>
        <w:t xml:space="preserve">5.2 </w:t>
      </w:r>
      <w:r w:rsidRPr="22A59B73">
        <w:rPr>
          <w:rFonts w:asciiTheme="minorHAnsi" w:hAnsiTheme="minorHAnsi" w:cstheme="minorBidi"/>
        </w:rPr>
        <w:t xml:space="preserve">million in Pell Grants </w:t>
      </w:r>
    </w:p>
    <w:p w:rsidRPr="00B24657" w:rsidR="00BC7D01" w:rsidP="22A59B73" w:rsidRDefault="00BC7D01" w14:paraId="05136CF9" w14:textId="0B959585">
      <w:pPr>
        <w:pStyle w:val="Default"/>
        <w:numPr>
          <w:ilvl w:val="1"/>
          <w:numId w:val="2"/>
        </w:numPr>
        <w:spacing w:after="53"/>
        <w:rPr>
          <w:rFonts w:asciiTheme="minorHAnsi" w:hAnsiTheme="minorHAnsi" w:cstheme="minorBidi"/>
        </w:rPr>
      </w:pPr>
      <w:r w:rsidRPr="22A59B73">
        <w:rPr>
          <w:rFonts w:asciiTheme="minorHAnsi" w:hAnsiTheme="minorHAnsi" w:cstheme="minorBidi"/>
        </w:rPr>
        <w:t>$1</w:t>
      </w:r>
      <w:r w:rsidRPr="22A59B73" w:rsidR="12720865">
        <w:rPr>
          <w:rFonts w:asciiTheme="minorHAnsi" w:hAnsiTheme="minorHAnsi" w:cstheme="minorBidi"/>
        </w:rPr>
        <w:t xml:space="preserve">12K in FSEOG </w:t>
      </w:r>
      <w:r w:rsidRPr="22A59B73" w:rsidR="0296B568">
        <w:rPr>
          <w:rFonts w:asciiTheme="minorHAnsi" w:hAnsiTheme="minorHAnsi" w:cstheme="minorBidi"/>
        </w:rPr>
        <w:t>(f</w:t>
      </w:r>
      <w:r w:rsidRPr="22A59B73">
        <w:rPr>
          <w:rFonts w:asciiTheme="minorHAnsi" w:hAnsiTheme="minorHAnsi" w:cstheme="minorBidi"/>
        </w:rPr>
        <w:t>ederal share</w:t>
      </w:r>
      <w:r w:rsidRPr="22A59B73" w:rsidR="2B637ACB">
        <w:rPr>
          <w:rFonts w:asciiTheme="minorHAnsi" w:hAnsiTheme="minorHAnsi" w:cstheme="minorBidi"/>
        </w:rPr>
        <w:t>)</w:t>
      </w:r>
      <w:r w:rsidRPr="22A59B73">
        <w:rPr>
          <w:rFonts w:asciiTheme="minorHAnsi" w:hAnsiTheme="minorHAnsi" w:cstheme="minorBidi"/>
        </w:rPr>
        <w:t xml:space="preserve"> </w:t>
      </w:r>
    </w:p>
    <w:p w:rsidRPr="00B24657" w:rsidR="00BC7D01" w:rsidP="22A59B73" w:rsidRDefault="00BC7D01" w14:paraId="55484F5E" w14:textId="101852F9">
      <w:pPr>
        <w:pStyle w:val="Default"/>
        <w:numPr>
          <w:ilvl w:val="1"/>
          <w:numId w:val="2"/>
        </w:numPr>
        <w:rPr>
          <w:rFonts w:asciiTheme="minorHAnsi" w:hAnsiTheme="minorHAnsi" w:cstheme="minorBidi"/>
        </w:rPr>
      </w:pPr>
      <w:r w:rsidRPr="666D1741">
        <w:rPr>
          <w:rFonts w:asciiTheme="minorHAnsi" w:hAnsiTheme="minorHAnsi" w:cstheme="minorBidi"/>
        </w:rPr>
        <w:t>$</w:t>
      </w:r>
      <w:r w:rsidRPr="666D1741" w:rsidR="017D9C79">
        <w:rPr>
          <w:rFonts w:asciiTheme="minorHAnsi" w:hAnsiTheme="minorHAnsi" w:cstheme="minorBidi"/>
        </w:rPr>
        <w:t>178K</w:t>
      </w:r>
      <w:r w:rsidRPr="666D1741">
        <w:rPr>
          <w:rFonts w:asciiTheme="minorHAnsi" w:hAnsiTheme="minorHAnsi" w:cstheme="minorBidi"/>
        </w:rPr>
        <w:t xml:space="preserve"> </w:t>
      </w:r>
      <w:r w:rsidRPr="666D1741" w:rsidR="03A982CE">
        <w:rPr>
          <w:rFonts w:asciiTheme="minorHAnsi" w:hAnsiTheme="minorHAnsi" w:cstheme="minorBidi"/>
        </w:rPr>
        <w:t xml:space="preserve">in </w:t>
      </w:r>
      <w:r w:rsidRPr="666D1741" w:rsidR="50B2972A">
        <w:rPr>
          <w:rFonts w:asciiTheme="minorHAnsi" w:hAnsiTheme="minorHAnsi" w:cstheme="minorBidi"/>
        </w:rPr>
        <w:t>F</w:t>
      </w:r>
      <w:r w:rsidRPr="666D1741">
        <w:rPr>
          <w:rFonts w:asciiTheme="minorHAnsi" w:hAnsiTheme="minorHAnsi" w:cstheme="minorBidi"/>
        </w:rPr>
        <w:t xml:space="preserve">ederal </w:t>
      </w:r>
      <w:r w:rsidRPr="666D1741" w:rsidR="644478A3">
        <w:rPr>
          <w:rFonts w:asciiTheme="minorHAnsi" w:hAnsiTheme="minorHAnsi" w:cstheme="minorBidi"/>
        </w:rPr>
        <w:t>W</w:t>
      </w:r>
      <w:r w:rsidRPr="666D1741">
        <w:rPr>
          <w:rFonts w:asciiTheme="minorHAnsi" w:hAnsiTheme="minorHAnsi" w:cstheme="minorBidi"/>
        </w:rPr>
        <w:t>ork-</w:t>
      </w:r>
      <w:r w:rsidRPr="666D1741" w:rsidR="65CCC116">
        <w:rPr>
          <w:rFonts w:asciiTheme="minorHAnsi" w:hAnsiTheme="minorHAnsi" w:cstheme="minorBidi"/>
        </w:rPr>
        <w:t>S</w:t>
      </w:r>
      <w:r w:rsidRPr="666D1741">
        <w:rPr>
          <w:rFonts w:asciiTheme="minorHAnsi" w:hAnsiTheme="minorHAnsi" w:cstheme="minorBidi"/>
        </w:rPr>
        <w:t xml:space="preserve">tudy </w:t>
      </w:r>
      <w:r w:rsidRPr="666D1741" w:rsidR="5B603767">
        <w:rPr>
          <w:rFonts w:asciiTheme="minorHAnsi" w:hAnsiTheme="minorHAnsi" w:cstheme="minorBidi"/>
        </w:rPr>
        <w:t xml:space="preserve">(federal share) </w:t>
      </w:r>
    </w:p>
    <w:p w:rsidRPr="00B24657" w:rsidR="009401BF" w:rsidP="00BC7D01" w:rsidRDefault="009401BF" w14:paraId="3614E10A" w14:textId="5219AADB">
      <w:pPr>
        <w:pStyle w:val="p1"/>
        <w:rPr>
          <w:rFonts w:asciiTheme="minorHAnsi" w:hAnsiTheme="minorHAnsi" w:cstheme="minorHAnsi"/>
          <w:color w:val="212121"/>
          <w:sz w:val="24"/>
          <w:szCs w:val="24"/>
        </w:rPr>
      </w:pPr>
    </w:p>
    <w:p w:rsidRPr="00B24657" w:rsidR="009401BF" w:rsidP="00B24657" w:rsidRDefault="00BA0630" w14:paraId="43AECDC3" w14:textId="187D26EE">
      <w:pPr>
        <w:pStyle w:val="p1"/>
        <w:rPr>
          <w:rFonts w:asciiTheme="minorHAnsi" w:hAnsiTheme="minorHAnsi" w:cstheme="minorHAnsi"/>
          <w:sz w:val="24"/>
          <w:szCs w:val="24"/>
        </w:rPr>
      </w:pPr>
      <w:r>
        <w:rPr>
          <w:rFonts w:asciiTheme="minorHAnsi" w:hAnsiTheme="minorHAnsi" w:cstheme="minorHAnsi"/>
          <w:sz w:val="24"/>
          <w:szCs w:val="24"/>
        </w:rPr>
        <w:t xml:space="preserve">The Department’s proposed carve-out language is not new, and remains as important as ever. </w:t>
      </w:r>
      <w:r w:rsidR="00E5789B">
        <w:rPr>
          <w:rFonts w:asciiTheme="minorHAnsi" w:hAnsiTheme="minorHAnsi" w:cstheme="minorHAnsi"/>
          <w:sz w:val="24"/>
          <w:szCs w:val="24"/>
        </w:rPr>
        <w:t xml:space="preserve">When implementing the Gainful Employment </w:t>
      </w:r>
      <w:r w:rsidR="006355D2">
        <w:rPr>
          <w:rFonts w:asciiTheme="minorHAnsi" w:hAnsiTheme="minorHAnsi" w:cstheme="minorHAnsi"/>
          <w:sz w:val="24"/>
          <w:szCs w:val="24"/>
        </w:rPr>
        <w:t>(</w:t>
      </w:r>
      <w:r w:rsidR="003A56B7">
        <w:rPr>
          <w:rFonts w:asciiTheme="minorHAnsi" w:hAnsiTheme="minorHAnsi" w:cstheme="minorHAnsi"/>
          <w:sz w:val="24"/>
          <w:szCs w:val="24"/>
        </w:rPr>
        <w:t>“</w:t>
      </w:r>
      <w:r w:rsidR="006355D2">
        <w:rPr>
          <w:rFonts w:asciiTheme="minorHAnsi" w:hAnsiTheme="minorHAnsi" w:cstheme="minorHAnsi"/>
          <w:sz w:val="24"/>
          <w:szCs w:val="24"/>
        </w:rPr>
        <w:t>GE</w:t>
      </w:r>
      <w:r w:rsidR="003A56B7">
        <w:rPr>
          <w:rFonts w:asciiTheme="minorHAnsi" w:hAnsiTheme="minorHAnsi" w:cstheme="minorHAnsi"/>
          <w:sz w:val="24"/>
          <w:szCs w:val="24"/>
        </w:rPr>
        <w:t>”</w:t>
      </w:r>
      <w:r w:rsidR="006355D2">
        <w:rPr>
          <w:rFonts w:asciiTheme="minorHAnsi" w:hAnsiTheme="minorHAnsi" w:cstheme="minorHAnsi"/>
          <w:sz w:val="24"/>
          <w:szCs w:val="24"/>
        </w:rPr>
        <w:t xml:space="preserve">) </w:t>
      </w:r>
      <w:r w:rsidR="00E5789B">
        <w:rPr>
          <w:rFonts w:asciiTheme="minorHAnsi" w:hAnsiTheme="minorHAnsi" w:cstheme="minorHAnsi"/>
          <w:sz w:val="24"/>
          <w:szCs w:val="24"/>
        </w:rPr>
        <w:t xml:space="preserve">regulations, </w:t>
      </w:r>
      <w:r w:rsidRPr="00B24657" w:rsidR="009401BF">
        <w:rPr>
          <w:rFonts w:asciiTheme="minorHAnsi" w:hAnsiTheme="minorHAnsi" w:cstheme="minorHAnsi"/>
          <w:sz w:val="24"/>
          <w:szCs w:val="24"/>
        </w:rPr>
        <w:t>ED repeatedly recognized the important distinctions between CTP</w:t>
      </w:r>
      <w:r w:rsidR="00E5789B">
        <w:rPr>
          <w:rFonts w:asciiTheme="minorHAnsi" w:hAnsiTheme="minorHAnsi" w:cstheme="minorHAnsi"/>
          <w:sz w:val="24"/>
          <w:szCs w:val="24"/>
        </w:rPr>
        <w:t xml:space="preserve"> Programs</w:t>
      </w:r>
      <w:r w:rsidRPr="00B24657" w:rsidR="009401BF">
        <w:rPr>
          <w:rFonts w:asciiTheme="minorHAnsi" w:hAnsiTheme="minorHAnsi" w:cstheme="minorHAnsi"/>
          <w:sz w:val="24"/>
          <w:szCs w:val="24"/>
        </w:rPr>
        <w:t xml:space="preserve"> and other</w:t>
      </w:r>
      <w:r w:rsidRPr="00B24657" w:rsidR="00B24657">
        <w:rPr>
          <w:rFonts w:asciiTheme="minorHAnsi" w:hAnsiTheme="minorHAnsi" w:cstheme="minorHAnsi"/>
          <w:sz w:val="24"/>
          <w:szCs w:val="24"/>
        </w:rPr>
        <w:t xml:space="preserve"> </w:t>
      </w:r>
      <w:r w:rsidRPr="00B24657" w:rsidR="009401BF">
        <w:rPr>
          <w:rFonts w:asciiTheme="minorHAnsi" w:hAnsiTheme="minorHAnsi" w:cstheme="minorHAnsi"/>
          <w:sz w:val="24"/>
          <w:szCs w:val="24"/>
        </w:rPr>
        <w:t>postsecondary education programs for the purposes of accountability metrics.</w:t>
      </w:r>
      <w:r w:rsidRPr="00B24657" w:rsidR="00BC7D01">
        <w:rPr>
          <w:rFonts w:asciiTheme="minorHAnsi" w:hAnsiTheme="minorHAnsi" w:cstheme="minorHAnsi"/>
          <w:sz w:val="24"/>
          <w:szCs w:val="24"/>
        </w:rPr>
        <w:t xml:space="preserve"> </w:t>
      </w:r>
      <w:r w:rsidR="00E5789B">
        <w:rPr>
          <w:rFonts w:asciiTheme="minorHAnsi" w:hAnsiTheme="minorHAnsi" w:cstheme="minorHAnsi"/>
          <w:sz w:val="24"/>
          <w:szCs w:val="24"/>
        </w:rPr>
        <w:t xml:space="preserve"> The Department has </w:t>
      </w:r>
      <w:r w:rsidRPr="00B24657" w:rsidR="009401BF">
        <w:rPr>
          <w:rFonts w:asciiTheme="minorHAnsi" w:hAnsiTheme="minorHAnsi" w:cstheme="minorHAnsi"/>
          <w:sz w:val="24"/>
          <w:szCs w:val="24"/>
        </w:rPr>
        <w:t>exempt</w:t>
      </w:r>
      <w:r w:rsidR="00B1437F">
        <w:rPr>
          <w:rFonts w:asciiTheme="minorHAnsi" w:hAnsiTheme="minorHAnsi" w:cstheme="minorHAnsi"/>
          <w:sz w:val="24"/>
          <w:szCs w:val="24"/>
        </w:rPr>
        <w:t>ed</w:t>
      </w:r>
      <w:r w:rsidRPr="00B24657" w:rsidR="009401BF">
        <w:rPr>
          <w:rFonts w:asciiTheme="minorHAnsi" w:hAnsiTheme="minorHAnsi" w:cstheme="minorHAnsi"/>
          <w:sz w:val="24"/>
          <w:szCs w:val="24"/>
        </w:rPr>
        <w:t xml:space="preserve"> </w:t>
      </w:r>
      <w:r w:rsidR="00E5789B">
        <w:rPr>
          <w:rFonts w:asciiTheme="minorHAnsi" w:hAnsiTheme="minorHAnsi" w:cstheme="minorHAnsi"/>
          <w:sz w:val="24"/>
          <w:szCs w:val="24"/>
        </w:rPr>
        <w:t xml:space="preserve">CTP Programs </w:t>
      </w:r>
      <w:r w:rsidRPr="00B24657" w:rsidR="009401BF">
        <w:rPr>
          <w:rFonts w:asciiTheme="minorHAnsi" w:hAnsiTheme="minorHAnsi" w:cstheme="minorHAnsi"/>
          <w:sz w:val="24"/>
          <w:szCs w:val="24"/>
        </w:rPr>
        <w:t xml:space="preserve">from </w:t>
      </w:r>
      <w:r w:rsidR="00E5789B">
        <w:rPr>
          <w:rFonts w:asciiTheme="minorHAnsi" w:hAnsiTheme="minorHAnsi" w:cstheme="minorHAnsi"/>
          <w:sz w:val="24"/>
          <w:szCs w:val="24"/>
        </w:rPr>
        <w:t xml:space="preserve">the </w:t>
      </w:r>
      <w:r w:rsidR="006355D2">
        <w:rPr>
          <w:rFonts w:asciiTheme="minorHAnsi" w:hAnsiTheme="minorHAnsi" w:cstheme="minorHAnsi"/>
          <w:sz w:val="24"/>
          <w:szCs w:val="24"/>
        </w:rPr>
        <w:t>GE</w:t>
      </w:r>
      <w:r w:rsidR="00E5789B">
        <w:rPr>
          <w:rFonts w:asciiTheme="minorHAnsi" w:hAnsiTheme="minorHAnsi" w:cstheme="minorHAnsi"/>
          <w:sz w:val="24"/>
          <w:szCs w:val="24"/>
        </w:rPr>
        <w:t xml:space="preserve"> metrics </w:t>
      </w:r>
      <w:r w:rsidRPr="00B24657" w:rsidR="009401BF">
        <w:rPr>
          <w:rFonts w:asciiTheme="minorHAnsi" w:hAnsiTheme="minorHAnsi" w:cstheme="minorHAnsi"/>
          <w:sz w:val="24"/>
          <w:szCs w:val="24"/>
        </w:rPr>
        <w:t>since</w:t>
      </w:r>
      <w:r w:rsidR="00B24657">
        <w:rPr>
          <w:rFonts w:asciiTheme="minorHAnsi" w:hAnsiTheme="minorHAnsi" w:cstheme="minorHAnsi"/>
          <w:sz w:val="24"/>
          <w:szCs w:val="24"/>
        </w:rPr>
        <w:t xml:space="preserve"> </w:t>
      </w:r>
      <w:r w:rsidRPr="00B24657" w:rsidR="009401BF">
        <w:rPr>
          <w:rFonts w:asciiTheme="minorHAnsi" w:hAnsiTheme="minorHAnsi" w:cstheme="minorHAnsi"/>
          <w:sz w:val="24"/>
          <w:szCs w:val="24"/>
        </w:rPr>
        <w:t xml:space="preserve">2015. When a Notice of Proposed Rulemaking </w:t>
      </w:r>
      <w:r w:rsidR="00E5789B">
        <w:rPr>
          <w:rFonts w:asciiTheme="minorHAnsi" w:hAnsiTheme="minorHAnsi" w:cstheme="minorHAnsi"/>
          <w:sz w:val="24"/>
          <w:szCs w:val="24"/>
        </w:rPr>
        <w:t xml:space="preserve">revising the </w:t>
      </w:r>
      <w:r w:rsidR="006355D2">
        <w:rPr>
          <w:rFonts w:asciiTheme="minorHAnsi" w:hAnsiTheme="minorHAnsi" w:cstheme="minorHAnsi"/>
          <w:sz w:val="24"/>
          <w:szCs w:val="24"/>
        </w:rPr>
        <w:t xml:space="preserve">GE </w:t>
      </w:r>
      <w:r w:rsidR="00E5789B">
        <w:rPr>
          <w:rFonts w:asciiTheme="minorHAnsi" w:hAnsiTheme="minorHAnsi" w:cstheme="minorHAnsi"/>
          <w:sz w:val="24"/>
          <w:szCs w:val="24"/>
        </w:rPr>
        <w:t>regulations</w:t>
      </w:r>
      <w:r w:rsidRPr="00B24657" w:rsidR="009401BF">
        <w:rPr>
          <w:rFonts w:asciiTheme="minorHAnsi" w:hAnsiTheme="minorHAnsi" w:cstheme="minorHAnsi"/>
          <w:sz w:val="24"/>
          <w:szCs w:val="24"/>
        </w:rPr>
        <w:t xml:space="preserve"> was</w:t>
      </w:r>
      <w:r w:rsidRPr="00B24657" w:rsidR="00BC7D01">
        <w:rPr>
          <w:rFonts w:asciiTheme="minorHAnsi" w:hAnsiTheme="minorHAnsi" w:cstheme="minorHAnsi"/>
          <w:sz w:val="24"/>
          <w:szCs w:val="24"/>
        </w:rPr>
        <w:t xml:space="preserve"> </w:t>
      </w:r>
      <w:r w:rsidRPr="00B24657" w:rsidR="009401BF">
        <w:rPr>
          <w:rFonts w:asciiTheme="minorHAnsi" w:hAnsiTheme="minorHAnsi" w:cstheme="minorHAnsi"/>
          <w:sz w:val="24"/>
          <w:szCs w:val="24"/>
        </w:rPr>
        <w:t>released on May 19, 2023, the NPRM included the following</w:t>
      </w:r>
      <w:r w:rsidR="00E5789B">
        <w:rPr>
          <w:rFonts w:asciiTheme="minorHAnsi" w:hAnsiTheme="minorHAnsi" w:cstheme="minorHAnsi"/>
          <w:sz w:val="24"/>
          <w:szCs w:val="24"/>
        </w:rPr>
        <w:t xml:space="preserve"> statement regarding CTP Programs</w:t>
      </w:r>
      <w:r w:rsidRPr="00B24657" w:rsidR="009401BF">
        <w:rPr>
          <w:rFonts w:asciiTheme="minorHAnsi" w:hAnsiTheme="minorHAnsi" w:cstheme="minorHAnsi"/>
          <w:sz w:val="24"/>
          <w:szCs w:val="24"/>
        </w:rPr>
        <w:t>:</w:t>
      </w:r>
    </w:p>
    <w:p w:rsidR="009401BF" w:rsidP="009401BF" w:rsidRDefault="009401BF" w14:paraId="1873AB6D" w14:textId="77777777">
      <w:pPr>
        <w:pStyle w:val="p1"/>
      </w:pPr>
    </w:p>
    <w:p w:rsidR="009401BF" w:rsidP="00B24657" w:rsidRDefault="009401BF" w14:paraId="24187EF1" w14:textId="77777777">
      <w:pPr>
        <w:pStyle w:val="p3"/>
        <w:ind w:left="720"/>
      </w:pPr>
      <w:r>
        <w:rPr>
          <w:rStyle w:val="s1"/>
        </w:rPr>
        <w:t>“</w:t>
      </w:r>
      <w:r>
        <w:t>The proposed regulations would also exempt</w:t>
      </w:r>
    </w:p>
    <w:p w:rsidR="009401BF" w:rsidP="00B24657" w:rsidRDefault="009401BF" w14:paraId="5ACAB9DE" w14:textId="77777777">
      <w:pPr>
        <w:pStyle w:val="p3"/>
        <w:ind w:left="720"/>
      </w:pPr>
      <w:r>
        <w:t>comprehensive transition and postsecondary</w:t>
      </w:r>
    </w:p>
    <w:p w:rsidR="009401BF" w:rsidP="00B24657" w:rsidRDefault="009401BF" w14:paraId="2E495D14" w14:textId="77777777">
      <w:pPr>
        <w:pStyle w:val="p3"/>
        <w:ind w:left="720"/>
      </w:pPr>
      <w:r>
        <w:t>programs, as defined at § 668.231. CTP programs</w:t>
      </w:r>
    </w:p>
    <w:p w:rsidR="009401BF" w:rsidP="00B24657" w:rsidRDefault="009401BF" w14:paraId="4F84A387" w14:textId="77777777">
      <w:pPr>
        <w:pStyle w:val="p3"/>
        <w:ind w:left="720"/>
      </w:pPr>
      <w:r>
        <w:t>are designed to provide integrated educational</w:t>
      </w:r>
    </w:p>
    <w:p w:rsidR="009401BF" w:rsidP="00B24657" w:rsidRDefault="009401BF" w14:paraId="2E825506" w14:textId="77777777">
      <w:pPr>
        <w:pStyle w:val="p3"/>
        <w:ind w:left="720"/>
      </w:pPr>
      <w:r>
        <w:t>opportunities for students with intellectual</w:t>
      </w:r>
    </w:p>
    <w:p w:rsidR="009401BF" w:rsidP="00B24657" w:rsidRDefault="009401BF" w14:paraId="59049EFF" w14:textId="77777777">
      <w:pPr>
        <w:pStyle w:val="p3"/>
        <w:ind w:left="720"/>
      </w:pPr>
      <w:r>
        <w:t>disabilities, for whom certain requirements for</w:t>
      </w:r>
    </w:p>
    <w:p w:rsidR="009401BF" w:rsidP="00B24657" w:rsidRDefault="009401BF" w14:paraId="215471FB" w14:textId="77777777">
      <w:pPr>
        <w:pStyle w:val="p3"/>
        <w:ind w:left="720"/>
      </w:pPr>
      <w:r>
        <w:t>title IV, HEA eligibility are waived or modified</w:t>
      </w:r>
    </w:p>
    <w:p w:rsidR="009401BF" w:rsidP="00B24657" w:rsidRDefault="009401BF" w14:paraId="3FA57FC1" w14:textId="77777777">
      <w:pPr>
        <w:pStyle w:val="p3"/>
        <w:ind w:left="720"/>
      </w:pPr>
      <w:r>
        <w:t>under subpart O of part 668. Unlike most eligible</w:t>
      </w:r>
    </w:p>
    <w:p w:rsidR="009401BF" w:rsidP="00B24657" w:rsidRDefault="009401BF" w14:paraId="4B22D339" w14:textId="77777777">
      <w:pPr>
        <w:pStyle w:val="p3"/>
        <w:ind w:left="720"/>
      </w:pPr>
      <w:r>
        <w:t>students, these students are not required to</w:t>
      </w:r>
    </w:p>
    <w:p w:rsidR="00B24657" w:rsidP="00B24657" w:rsidRDefault="009401BF" w14:paraId="6A7638D8" w14:textId="77777777">
      <w:pPr>
        <w:pStyle w:val="p3"/>
        <w:ind w:left="720"/>
      </w:pPr>
      <w:r>
        <w:t xml:space="preserve">possess a high school diploma or equivalent, or </w:t>
      </w:r>
    </w:p>
    <w:p w:rsidR="009401BF" w:rsidP="00B24657" w:rsidRDefault="009401BF" w14:paraId="120E0FD2" w14:textId="5952FD99">
      <w:pPr>
        <w:pStyle w:val="p3"/>
        <w:ind w:left="720"/>
      </w:pPr>
      <w:r>
        <w:t>to</w:t>
      </w:r>
      <w:r w:rsidR="00B24657">
        <w:t xml:space="preserve"> </w:t>
      </w:r>
      <w:r>
        <w:t>pass an ability-to-benefit test to establish</w:t>
      </w:r>
    </w:p>
    <w:p w:rsidR="009401BF" w:rsidP="00B24657" w:rsidRDefault="009401BF" w14:paraId="4081A429" w14:textId="77777777">
      <w:pPr>
        <w:pStyle w:val="p3"/>
        <w:ind w:left="720"/>
      </w:pPr>
      <w:r>
        <w:t>eligibility for title IV, HEA funds.</w:t>
      </w:r>
    </w:p>
    <w:p w:rsidR="009401BF" w:rsidP="00B24657" w:rsidRDefault="009401BF" w14:paraId="48838D90" w14:textId="77777777">
      <w:pPr>
        <w:pStyle w:val="p3"/>
        <w:ind w:left="720"/>
      </w:pPr>
      <w:r>
        <w:t>The earnings premium measure proposed in subpart Q</w:t>
      </w:r>
    </w:p>
    <w:p w:rsidR="009401BF" w:rsidP="00B24657" w:rsidRDefault="009401BF" w14:paraId="79DAB0E4" w14:textId="77777777">
      <w:pPr>
        <w:pStyle w:val="p3"/>
        <w:ind w:left="720"/>
      </w:pPr>
      <w:r>
        <w:t>is designed to compare postsecondary completers’</w:t>
      </w:r>
    </w:p>
    <w:p w:rsidR="009401BF" w:rsidP="00B24657" w:rsidRDefault="009401BF" w14:paraId="55C10407" w14:textId="77777777">
      <w:pPr>
        <w:pStyle w:val="p3"/>
        <w:ind w:left="720"/>
      </w:pPr>
      <w:r>
        <w:lastRenderedPageBreak/>
        <w:t>earnings outcomes to the earnings of those with a</w:t>
      </w:r>
    </w:p>
    <w:p w:rsidR="009401BF" w:rsidP="00B24657" w:rsidRDefault="009401BF" w14:paraId="68C45B47" w14:textId="77777777">
      <w:pPr>
        <w:pStyle w:val="p3"/>
        <w:ind w:left="720"/>
      </w:pPr>
      <w:r>
        <w:t>high school diploma or equivalent but no</w:t>
      </w:r>
    </w:p>
    <w:p w:rsidR="009401BF" w:rsidP="00B24657" w:rsidRDefault="009401BF" w14:paraId="4FEEB1B9" w14:textId="77777777">
      <w:pPr>
        <w:pStyle w:val="p3"/>
        <w:ind w:left="720"/>
      </w:pPr>
      <w:r>
        <w:t>postsecondary education. We believe that to judge</w:t>
      </w:r>
    </w:p>
    <w:p w:rsidR="009401BF" w:rsidP="00B24657" w:rsidRDefault="009401BF" w14:paraId="1324D483" w14:textId="77777777">
      <w:pPr>
        <w:pStyle w:val="p3"/>
        <w:ind w:left="720"/>
      </w:pPr>
      <w:r>
        <w:t>a CTP program’s earnings outcomes against the</w:t>
      </w:r>
    </w:p>
    <w:p w:rsidR="009401BF" w:rsidP="00B24657" w:rsidRDefault="009401BF" w14:paraId="06F951F4" w14:textId="77777777">
      <w:pPr>
        <w:pStyle w:val="p3"/>
        <w:ind w:left="720"/>
      </w:pPr>
      <w:r>
        <w:t>outcomes of individuals with a high school diploma</w:t>
      </w:r>
    </w:p>
    <w:p w:rsidR="009401BF" w:rsidP="00B24657" w:rsidRDefault="009401BF" w14:paraId="25C99F23" w14:textId="77777777">
      <w:pPr>
        <w:pStyle w:val="p3"/>
        <w:ind w:left="720"/>
      </w:pPr>
      <w:r>
        <w:t>or the equivalent would be an inherently flawed</w:t>
      </w:r>
    </w:p>
    <w:p w:rsidR="009401BF" w:rsidP="00B24657" w:rsidRDefault="009401BF" w14:paraId="42EABC9C" w14:textId="77777777">
      <w:pPr>
        <w:pStyle w:val="p3"/>
        <w:ind w:left="720"/>
      </w:pPr>
      <w:r>
        <w:t>comparison, as students enrolled in a CTP program</w:t>
      </w:r>
    </w:p>
    <w:p w:rsidR="009401BF" w:rsidP="00B24657" w:rsidRDefault="009401BF" w14:paraId="42527DAB" w14:textId="77777777">
      <w:pPr>
        <w:pStyle w:val="p3"/>
        <w:ind w:left="720"/>
      </w:pPr>
      <w:r>
        <w:t>are not required to have a high school credential</w:t>
      </w:r>
    </w:p>
    <w:p w:rsidR="009401BF" w:rsidP="00B24657" w:rsidRDefault="009401BF" w14:paraId="71ABF085" w14:textId="77777777">
      <w:pPr>
        <w:pStyle w:val="p3"/>
        <w:ind w:left="720"/>
      </w:pPr>
      <w:r>
        <w:t>or equivalent.</w:t>
      </w:r>
    </w:p>
    <w:p w:rsidR="00B24657" w:rsidP="00B24657" w:rsidRDefault="00B24657" w14:paraId="1F75BA38" w14:textId="77777777">
      <w:pPr>
        <w:pStyle w:val="p3"/>
        <w:ind w:left="720"/>
      </w:pPr>
    </w:p>
    <w:p w:rsidR="009401BF" w:rsidP="00B24657" w:rsidRDefault="009401BF" w14:paraId="6C3711A1" w14:textId="4235238F">
      <w:pPr>
        <w:pStyle w:val="p3"/>
        <w:ind w:left="720"/>
      </w:pPr>
      <w:r>
        <w:t>These students also</w:t>
      </w:r>
      <w:r w:rsidR="00321B47">
        <w:t xml:space="preserve"> </w:t>
      </w:r>
      <w:r>
        <w:t>are not eligible to obtain</w:t>
      </w:r>
    </w:p>
    <w:p w:rsidR="009401BF" w:rsidP="00B24657" w:rsidRDefault="009401BF" w14:paraId="17AC3C4F" w14:textId="77777777">
      <w:pPr>
        <w:pStyle w:val="p3"/>
        <w:ind w:left="720"/>
      </w:pPr>
      <w:r>
        <w:t>Federal student loans, which would render debt-to-</w:t>
      </w:r>
    </w:p>
    <w:p w:rsidR="009401BF" w:rsidP="00B24657" w:rsidRDefault="009401BF" w14:paraId="45926F0D" w14:textId="77777777">
      <w:pPr>
        <w:pStyle w:val="p3"/>
        <w:ind w:left="720"/>
      </w:pPr>
      <w:r>
        <w:t>earnings rates meaningless for these programs.”</w:t>
      </w:r>
    </w:p>
    <w:p w:rsidR="00B24657" w:rsidP="00B24657" w:rsidRDefault="00B24657" w14:paraId="0380FFFB" w14:textId="77777777">
      <w:pPr>
        <w:pStyle w:val="p3"/>
        <w:ind w:left="720"/>
      </w:pPr>
    </w:p>
    <w:p w:rsidRPr="00516B34" w:rsidR="00B24657" w:rsidP="00B24657" w:rsidRDefault="00B24657" w14:paraId="4B8D398F" w14:textId="69320BDE">
      <w:pPr>
        <w:rPr>
          <w:rFonts w:cstheme="minorHAnsi"/>
        </w:rPr>
      </w:pPr>
      <w:r w:rsidRPr="666D1741">
        <w:t>The</w:t>
      </w:r>
      <w:r w:rsidR="000921C1">
        <w:t xml:space="preserve"> FSA </w:t>
      </w:r>
      <w:r w:rsidR="00A67501">
        <w:t>Handbook also</w:t>
      </w:r>
      <w:r w:rsidR="00F70E22">
        <w:t xml:space="preserve"> states</w:t>
      </w:r>
      <w:r w:rsidRPr="666D1741">
        <w:t xml:space="preserve"> that </w:t>
      </w:r>
      <w:r w:rsidR="00294094">
        <w:t xml:space="preserve">approved </w:t>
      </w:r>
      <w:r w:rsidRPr="666D1741">
        <w:t xml:space="preserve">CTP </w:t>
      </w:r>
      <w:r w:rsidR="00294094">
        <w:t>P</w:t>
      </w:r>
      <w:r w:rsidRPr="666D1741">
        <w:t xml:space="preserve">rograms do not </w:t>
      </w:r>
      <w:r w:rsidR="00294094">
        <w:t>constitute G</w:t>
      </w:r>
      <w:r w:rsidR="0077438C">
        <w:t>E</w:t>
      </w:r>
      <w:r w:rsidR="00294094">
        <w:t xml:space="preserve"> programs</w:t>
      </w:r>
      <w:r w:rsidR="000921C1">
        <w:t xml:space="preserve">.  </w:t>
      </w:r>
      <w:hyperlink w:history="1" r:id="rId11">
        <w:r w:rsidRPr="000921C1" w:rsidR="000921C1">
          <w:rPr>
            <w:rStyle w:val="Hyperlink"/>
          </w:rPr>
          <w:t>Program Eligibility, Written Arrangements, and Distance Education | 2024-2025 Federal Student Aid Handbook</w:t>
        </w:r>
      </w:hyperlink>
      <w:r w:rsidR="00294094">
        <w:t xml:space="preserve">. </w:t>
      </w:r>
    </w:p>
    <w:p w:rsidRPr="00516B34" w:rsidR="00B24657" w:rsidP="00B24657" w:rsidRDefault="00B24657" w14:paraId="2AEFC4F0" w14:textId="7C14F879">
      <w:pPr>
        <w:rPr>
          <w:rFonts w:eastAsia="Times New Roman" w:cstheme="minorHAnsi"/>
          <w:color w:val="212121"/>
        </w:rPr>
      </w:pPr>
      <w:r w:rsidRPr="00516B34">
        <w:rPr>
          <w:rFonts w:cstheme="minorHAnsi"/>
        </w:rPr>
        <w:t xml:space="preserve"> </w:t>
      </w:r>
    </w:p>
    <w:p w:rsidR="000832A8" w:rsidP="00516B34" w:rsidRDefault="000832A8" w14:paraId="531CEE12" w14:textId="07D28233">
      <w:pPr>
        <w:pStyle w:val="Default"/>
        <w:rPr>
          <w:rFonts w:asciiTheme="minorHAnsi" w:hAnsiTheme="minorHAnsi" w:cstheme="minorHAnsi"/>
          <w:color w:val="000000" w:themeColor="text1"/>
        </w:rPr>
      </w:pPr>
      <w:r>
        <w:rPr>
          <w:rFonts w:asciiTheme="minorHAnsi" w:hAnsiTheme="minorHAnsi" w:cstheme="minorHAnsi"/>
        </w:rPr>
        <w:t>For the same reasons that CTP Programs were not includ</w:t>
      </w:r>
      <w:r w:rsidR="00A41965">
        <w:rPr>
          <w:rFonts w:asciiTheme="minorHAnsi" w:hAnsiTheme="minorHAnsi" w:cstheme="minorHAnsi"/>
        </w:rPr>
        <w:t>ed</w:t>
      </w:r>
      <w:r>
        <w:rPr>
          <w:rFonts w:asciiTheme="minorHAnsi" w:hAnsiTheme="minorHAnsi" w:cstheme="minorHAnsi"/>
        </w:rPr>
        <w:t xml:space="preserve"> in the earnings metrics for G</w:t>
      </w:r>
      <w:r w:rsidR="003A56B7">
        <w:rPr>
          <w:rFonts w:asciiTheme="minorHAnsi" w:hAnsiTheme="minorHAnsi" w:cstheme="minorHAnsi"/>
        </w:rPr>
        <w:t>E</w:t>
      </w:r>
      <w:r>
        <w:rPr>
          <w:rFonts w:asciiTheme="minorHAnsi" w:hAnsiTheme="minorHAnsi" w:cstheme="minorHAnsi"/>
        </w:rPr>
        <w:t xml:space="preserve"> </w:t>
      </w:r>
      <w:r w:rsidR="003A56B7">
        <w:rPr>
          <w:rFonts w:asciiTheme="minorHAnsi" w:hAnsiTheme="minorHAnsi" w:cstheme="minorHAnsi"/>
        </w:rPr>
        <w:t>p</w:t>
      </w:r>
      <w:r>
        <w:rPr>
          <w:rFonts w:asciiTheme="minorHAnsi" w:hAnsiTheme="minorHAnsi" w:cstheme="minorHAnsi"/>
        </w:rPr>
        <w:t>rograms, the</w:t>
      </w:r>
      <w:r w:rsidRPr="00516B34" w:rsidR="00B24657">
        <w:rPr>
          <w:rFonts w:asciiTheme="minorHAnsi" w:hAnsiTheme="minorHAnsi" w:cstheme="minorHAnsi"/>
        </w:rPr>
        <w:t xml:space="preserve"> IHEC strongly supports </w:t>
      </w:r>
      <w:r w:rsidR="000921C1">
        <w:rPr>
          <w:rFonts w:asciiTheme="minorHAnsi" w:hAnsiTheme="minorHAnsi" w:cstheme="minorHAnsi"/>
        </w:rPr>
        <w:t xml:space="preserve">maintaining the exclusion of students enrolled </w:t>
      </w:r>
      <w:r w:rsidR="00A67501">
        <w:rPr>
          <w:rFonts w:asciiTheme="minorHAnsi" w:hAnsiTheme="minorHAnsi" w:cstheme="minorHAnsi"/>
        </w:rPr>
        <w:t>in approved</w:t>
      </w:r>
      <w:r>
        <w:rPr>
          <w:rFonts w:asciiTheme="minorHAnsi" w:hAnsiTheme="minorHAnsi" w:cstheme="minorHAnsi"/>
        </w:rPr>
        <w:t xml:space="preserve"> </w:t>
      </w:r>
      <w:r w:rsidR="000921C1">
        <w:rPr>
          <w:rFonts w:asciiTheme="minorHAnsi" w:hAnsiTheme="minorHAnsi" w:cstheme="minorHAnsi"/>
        </w:rPr>
        <w:t xml:space="preserve"> CTP Programs from the earnings premium calculation, as indicated </w:t>
      </w:r>
      <w:r w:rsidR="000921C1">
        <w:rPr>
          <w:rFonts w:asciiTheme="minorHAnsi" w:hAnsiTheme="minorHAnsi" w:cstheme="minorHAnsi"/>
          <w:color w:val="000000" w:themeColor="text1"/>
        </w:rPr>
        <w:t>in the proposed rule at</w:t>
      </w:r>
      <w:r>
        <w:rPr>
          <w:rFonts w:asciiTheme="minorHAnsi" w:hAnsiTheme="minorHAnsi" w:cstheme="minorHAnsi"/>
          <w:color w:val="000000" w:themeColor="text1"/>
        </w:rPr>
        <w:t xml:space="preserve"> 34 C.F.R</w:t>
      </w:r>
      <w:r w:rsidR="00A67501">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0832A8">
        <w:rPr>
          <w:rFonts w:asciiTheme="minorHAnsi" w:hAnsiTheme="minorHAnsi" w:cstheme="minorHAnsi"/>
          <w:color w:val="000000" w:themeColor="text1"/>
        </w:rPr>
        <w:t>§</w:t>
      </w:r>
      <w:r>
        <w:rPr>
          <w:rFonts w:asciiTheme="minorHAnsi" w:hAnsiTheme="minorHAnsi" w:cstheme="minorHAnsi"/>
          <w:color w:val="000000" w:themeColor="text1"/>
        </w:rPr>
        <w:t xml:space="preserve"> 668.403(c)</w:t>
      </w:r>
      <w:r w:rsidR="00AA047E">
        <w:rPr>
          <w:rFonts w:asciiTheme="minorHAnsi" w:hAnsiTheme="minorHAnsi" w:cstheme="minorHAnsi"/>
          <w:color w:val="000000" w:themeColor="text1"/>
        </w:rPr>
        <w:t xml:space="preserve">. </w:t>
      </w:r>
    </w:p>
    <w:p w:rsidR="000832A8" w:rsidP="00516B34" w:rsidRDefault="000832A8" w14:paraId="711168FC" w14:textId="77777777">
      <w:pPr>
        <w:pStyle w:val="Default"/>
        <w:rPr>
          <w:rFonts w:asciiTheme="minorHAnsi" w:hAnsiTheme="minorHAnsi" w:cstheme="minorHAnsi"/>
          <w:color w:val="000000" w:themeColor="text1"/>
        </w:rPr>
      </w:pPr>
    </w:p>
    <w:p w:rsidRPr="00516B34" w:rsidR="00516B34" w:rsidP="00516B34" w:rsidRDefault="000832A8" w14:paraId="77E7CDC2" w14:textId="115E37B1">
      <w:pPr>
        <w:pStyle w:val="Default"/>
        <w:rPr>
          <w:rFonts w:asciiTheme="minorHAnsi" w:hAnsiTheme="minorHAnsi" w:cstheme="minorHAnsi"/>
          <w:color w:val="000000" w:themeColor="text1"/>
        </w:rPr>
      </w:pPr>
      <w:r>
        <w:rPr>
          <w:rFonts w:asciiTheme="minorHAnsi" w:hAnsiTheme="minorHAnsi" w:cstheme="minorHAnsi"/>
          <w:color w:val="000000" w:themeColor="text1"/>
        </w:rPr>
        <w:t xml:space="preserve">We </w:t>
      </w:r>
      <w:r w:rsidR="009509E4">
        <w:rPr>
          <w:rFonts w:asciiTheme="minorHAnsi" w:hAnsiTheme="minorHAnsi" w:cstheme="minorHAnsi"/>
          <w:color w:val="000000" w:themeColor="text1"/>
        </w:rPr>
        <w:t>also</w:t>
      </w:r>
      <w:r w:rsidR="00996F5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offer two specific suggestions with respect to the </w:t>
      </w:r>
      <w:r w:rsidR="00697151">
        <w:rPr>
          <w:rFonts w:asciiTheme="minorHAnsi" w:hAnsiTheme="minorHAnsi" w:cstheme="minorHAnsi"/>
          <w:color w:val="000000" w:themeColor="text1"/>
        </w:rPr>
        <w:t xml:space="preserve">effective </w:t>
      </w:r>
      <w:r>
        <w:rPr>
          <w:rFonts w:asciiTheme="minorHAnsi" w:hAnsiTheme="minorHAnsi" w:cstheme="minorHAnsi"/>
          <w:color w:val="000000" w:themeColor="text1"/>
        </w:rPr>
        <w:t xml:space="preserve">exclusion of CTP Programs.  First, we believe it may add clarity to the exclusion if there is an appropriate cross reference to 34 C.F.R., Subpart O.  Second, since a CTP Program is a specific </w:t>
      </w:r>
      <w:r w:rsidR="00163970">
        <w:rPr>
          <w:rFonts w:asciiTheme="minorHAnsi" w:hAnsiTheme="minorHAnsi" w:cstheme="minorHAnsi"/>
          <w:color w:val="000000" w:themeColor="text1"/>
        </w:rPr>
        <w:t xml:space="preserve">program as defined by the regulations, we believe it may be helpful to specifically state in the final regulations that the Secretary will not publish an earnings premium measure for CTP Programs.  This could be added, for instance, at 34 C.F.R. </w:t>
      </w:r>
      <w:r w:rsidRPr="00CB0575" w:rsidR="00CB0575">
        <w:rPr>
          <w:rFonts w:asciiTheme="minorHAnsi" w:hAnsiTheme="minorHAnsi" w:cstheme="minorHAnsi"/>
          <w:color w:val="000000" w:themeColor="text1"/>
        </w:rPr>
        <w:t>§</w:t>
      </w:r>
      <w:r w:rsidR="00CB0575">
        <w:rPr>
          <w:rFonts w:asciiTheme="minorHAnsi" w:hAnsiTheme="minorHAnsi" w:cstheme="minorHAnsi"/>
          <w:color w:val="000000" w:themeColor="text1"/>
        </w:rPr>
        <w:t xml:space="preserve">668.405.  That </w:t>
      </w:r>
      <w:r w:rsidR="00A67501">
        <w:rPr>
          <w:rFonts w:asciiTheme="minorHAnsi" w:hAnsiTheme="minorHAnsi" w:cstheme="minorHAnsi"/>
          <w:color w:val="000000" w:themeColor="text1"/>
        </w:rPr>
        <w:t>would</w:t>
      </w:r>
      <w:r w:rsidR="00CB0575">
        <w:rPr>
          <w:rFonts w:asciiTheme="minorHAnsi" w:hAnsiTheme="minorHAnsi" w:cstheme="minorHAnsi"/>
          <w:color w:val="000000" w:themeColor="text1"/>
        </w:rPr>
        <w:t xml:space="preserve"> ensure that the new certifications required for eligible programs pursuant to 34 C.F.R</w:t>
      </w:r>
      <w:r w:rsidR="00A67501">
        <w:rPr>
          <w:rFonts w:asciiTheme="minorHAnsi" w:hAnsiTheme="minorHAnsi" w:cstheme="minorHAnsi"/>
          <w:color w:val="000000" w:themeColor="text1"/>
        </w:rPr>
        <w:t>.</w:t>
      </w:r>
      <w:r w:rsidR="00CB0575">
        <w:rPr>
          <w:rFonts w:asciiTheme="minorHAnsi" w:hAnsiTheme="minorHAnsi" w:cstheme="minorHAnsi"/>
          <w:color w:val="000000" w:themeColor="text1"/>
        </w:rPr>
        <w:t xml:space="preserve"> </w:t>
      </w:r>
      <w:r w:rsidRPr="00CB0575" w:rsidR="00CB0575">
        <w:rPr>
          <w:rFonts w:asciiTheme="minorHAnsi" w:hAnsiTheme="minorHAnsi" w:cstheme="minorHAnsi"/>
          <w:color w:val="000000" w:themeColor="text1"/>
        </w:rPr>
        <w:t xml:space="preserve"> §668.</w:t>
      </w:r>
      <w:r w:rsidR="00CB0575">
        <w:rPr>
          <w:rFonts w:asciiTheme="minorHAnsi" w:hAnsiTheme="minorHAnsi" w:cstheme="minorHAnsi"/>
          <w:color w:val="000000" w:themeColor="text1"/>
        </w:rPr>
        <w:t xml:space="preserve">604 </w:t>
      </w:r>
      <w:r w:rsidR="008D6904">
        <w:rPr>
          <w:rFonts w:asciiTheme="minorHAnsi" w:hAnsiTheme="minorHAnsi" w:cstheme="minorHAnsi"/>
          <w:color w:val="000000" w:themeColor="text1"/>
        </w:rPr>
        <w:t xml:space="preserve">can in fact be </w:t>
      </w:r>
      <w:r w:rsidR="00CB0575">
        <w:rPr>
          <w:rFonts w:asciiTheme="minorHAnsi" w:hAnsiTheme="minorHAnsi" w:cstheme="minorHAnsi"/>
          <w:color w:val="000000" w:themeColor="text1"/>
        </w:rPr>
        <w:t>made by institutions offering CTP Programs</w:t>
      </w:r>
      <w:r w:rsidR="00BD20FE">
        <w:rPr>
          <w:rFonts w:asciiTheme="minorHAnsi" w:hAnsiTheme="minorHAnsi" w:cstheme="minorHAnsi"/>
          <w:color w:val="000000" w:themeColor="text1"/>
        </w:rPr>
        <w:t xml:space="preserve">. It will also </w:t>
      </w:r>
      <w:r w:rsidR="00DF6ED9">
        <w:rPr>
          <w:rFonts w:asciiTheme="minorHAnsi" w:hAnsiTheme="minorHAnsi" w:cstheme="minorHAnsi"/>
          <w:color w:val="000000" w:themeColor="text1"/>
        </w:rPr>
        <w:t xml:space="preserve">remove any </w:t>
      </w:r>
      <w:r w:rsidR="003D6E68">
        <w:rPr>
          <w:rFonts w:asciiTheme="minorHAnsi" w:hAnsiTheme="minorHAnsi" w:cstheme="minorHAnsi"/>
          <w:color w:val="000000" w:themeColor="text1"/>
        </w:rPr>
        <w:t xml:space="preserve">disincentive from offering such programs that institutions might otherwise face </w:t>
      </w:r>
      <w:r w:rsidR="000A477C">
        <w:rPr>
          <w:rFonts w:asciiTheme="minorHAnsi" w:hAnsiTheme="minorHAnsi" w:cstheme="minorHAnsi"/>
          <w:color w:val="000000" w:themeColor="text1"/>
        </w:rPr>
        <w:t xml:space="preserve">due to uncertainty about the meaning </w:t>
      </w:r>
      <w:r w:rsidR="0007433B">
        <w:rPr>
          <w:rFonts w:asciiTheme="minorHAnsi" w:hAnsiTheme="minorHAnsi" w:cstheme="minorHAnsi"/>
          <w:color w:val="000000" w:themeColor="text1"/>
        </w:rPr>
        <w:t xml:space="preserve">or application of these regulations for CTP Program purposes. </w:t>
      </w:r>
    </w:p>
    <w:p w:rsidRPr="00516B34" w:rsidR="00516B34" w:rsidP="00516B34" w:rsidRDefault="00516B34" w14:paraId="12CD8DC8" w14:textId="77777777">
      <w:pPr>
        <w:pStyle w:val="Default"/>
        <w:rPr>
          <w:rFonts w:asciiTheme="minorHAnsi" w:hAnsiTheme="minorHAnsi" w:cstheme="minorHAnsi"/>
        </w:rPr>
      </w:pPr>
      <w:r w:rsidRPr="00516B34">
        <w:rPr>
          <w:rFonts w:asciiTheme="minorHAnsi" w:hAnsiTheme="minorHAnsi" w:cstheme="minorHAnsi"/>
        </w:rPr>
        <w:t xml:space="preserve"> </w:t>
      </w:r>
    </w:p>
    <w:p w:rsidRPr="00516B34" w:rsidR="00EC3A4A" w:rsidP="00EC3A4A" w:rsidRDefault="00624387" w14:paraId="7520E128" w14:textId="09746453">
      <w:pPr>
        <w:rPr>
          <w:rFonts w:eastAsia="Times New Roman" w:cstheme="minorHAnsi"/>
          <w:color w:val="212121"/>
        </w:rPr>
      </w:pPr>
      <w:r w:rsidRPr="00516B34">
        <w:rPr>
          <w:rFonts w:eastAsia="Times New Roman" w:cstheme="minorHAnsi"/>
          <w:color w:val="212121"/>
        </w:rPr>
        <w:t xml:space="preserve">Thank you for this opportunity </w:t>
      </w:r>
      <w:r w:rsidRPr="00516B34" w:rsidR="00EC3A4A">
        <w:rPr>
          <w:rFonts w:eastAsia="Times New Roman" w:cstheme="minorHAnsi"/>
          <w:color w:val="212121"/>
        </w:rPr>
        <w:t>to comment. If you would like more information, please contact IHEC Co-Chairs</w:t>
      </w:r>
      <w:r w:rsidR="00166B16">
        <w:rPr>
          <w:rFonts w:eastAsia="Times New Roman" w:cstheme="minorHAnsi"/>
          <w:color w:val="212121"/>
        </w:rPr>
        <w:t xml:space="preserve"> </w:t>
      </w:r>
      <w:r w:rsidRPr="00516B34" w:rsidR="00EC3A4A">
        <w:rPr>
          <w:rFonts w:eastAsia="Times New Roman" w:cstheme="minorHAnsi"/>
          <w:color w:val="212121"/>
        </w:rPr>
        <w:t xml:space="preserve">Stephanie Smith Lee, (National Down Syndrome Congress) at </w:t>
      </w:r>
      <w:hyperlink w:history="1" r:id="rId12">
        <w:r w:rsidRPr="00516B34" w:rsidR="00EC3A4A">
          <w:rPr>
            <w:rStyle w:val="Hyperlink"/>
            <w:rFonts w:eastAsia="Times New Roman" w:cstheme="minorHAnsi"/>
          </w:rPr>
          <w:t>Stephanie@ndsccenter.org</w:t>
        </w:r>
      </w:hyperlink>
      <w:r w:rsidRPr="00516B34" w:rsidR="00EC3A4A">
        <w:rPr>
          <w:rFonts w:eastAsia="Times New Roman" w:cstheme="minorHAnsi"/>
          <w:color w:val="212121"/>
        </w:rPr>
        <w:t xml:space="preserve"> or Robyn Linscott, (The Arc of the U.S.) at linscott@thearc.org.</w:t>
      </w:r>
    </w:p>
    <w:p w:rsidRPr="00516B34" w:rsidR="00EC3A4A" w:rsidP="00EC3A4A" w:rsidRDefault="00EC3A4A" w14:paraId="70FB44FB" w14:textId="096AA7CE">
      <w:pPr>
        <w:rPr>
          <w:rFonts w:eastAsia="Times New Roman" w:cstheme="minorHAnsi"/>
          <w:color w:val="212121"/>
        </w:rPr>
      </w:pPr>
    </w:p>
    <w:p w:rsidRPr="00516B34" w:rsidR="00C164BE" w:rsidRDefault="00C164BE" w14:paraId="4DEB17FD" w14:textId="77777777">
      <w:pPr>
        <w:rPr>
          <w:rFonts w:eastAsia="Times New Roman" w:cstheme="minorHAnsi"/>
          <w:color w:val="212121"/>
        </w:rPr>
      </w:pPr>
      <w:r w:rsidRPr="00516B34">
        <w:rPr>
          <w:rFonts w:eastAsia="Times New Roman" w:cstheme="minorHAnsi"/>
          <w:color w:val="212121"/>
        </w:rPr>
        <w:t xml:space="preserve">Signed, </w:t>
      </w:r>
    </w:p>
    <w:p w:rsidRPr="00516B34" w:rsidR="00C164BE" w:rsidRDefault="00C164BE" w14:paraId="6ED13E40" w14:textId="77777777">
      <w:pPr>
        <w:rPr>
          <w:rFonts w:eastAsia="Times New Roman" w:cstheme="minorHAnsi"/>
          <w:color w:val="212121"/>
        </w:rPr>
      </w:pPr>
    </w:p>
    <w:p w:rsidR="00CB0575" w:rsidP="6A75F963" w:rsidRDefault="00CB0575" w14:paraId="415DEF2A" w14:textId="7B456A11">
      <w:pPr/>
      <w:r w:rsidRPr="676221C7" w:rsidR="00CB0575">
        <w:rPr>
          <w:rFonts w:eastAsia="Times New Roman" w:cs="Calibri" w:cstheme="minorAscii"/>
          <w:color w:val="212121"/>
        </w:rPr>
        <w:t>I</w:t>
      </w:r>
      <w:r w:rsidRPr="676221C7" w:rsidR="23584876">
        <w:rPr>
          <w:rFonts w:eastAsia="Times New Roman" w:cs="Calibri" w:cstheme="minorAscii"/>
          <w:color w:val="212121"/>
        </w:rPr>
        <w:t>nclusive Higher Education Committee</w:t>
      </w:r>
    </w:p>
    <w:p w:rsidR="676221C7" w:rsidP="676221C7" w:rsidRDefault="676221C7" w14:paraId="6095CA1B" w14:textId="26A19AEB">
      <w:pPr>
        <w:rPr>
          <w:rFonts w:ascii="Calibri" w:hAnsi="Calibri" w:eastAsia="Calibri" w:cs="Calibri" w:asciiTheme="minorAscii" w:hAnsiTheme="minorAscii" w:eastAsiaTheme="minorAscii" w:cstheme="minorAscii"/>
          <w:color w:val="212121"/>
        </w:rPr>
      </w:pPr>
    </w:p>
    <w:p w:rsidR="1442AA26" w:rsidP="676221C7" w:rsidRDefault="1442AA26" w14:paraId="49BAA46A" w14:textId="18D63BD0">
      <w:pPr>
        <w:pStyle w:val="Normal"/>
      </w:pPr>
      <w:r w:rsidRPr="676221C7" w:rsidR="1442AA26">
        <w:rPr>
          <w:rFonts w:ascii="Calibri" w:hAnsi="Calibri" w:eastAsia="Calibri" w:cs="Calibri" w:asciiTheme="minorAscii" w:hAnsiTheme="minorAscii" w:eastAsiaTheme="minorAscii" w:cstheme="minorAscii"/>
          <w:noProof w:val="0"/>
          <w:sz w:val="24"/>
          <w:szCs w:val="24"/>
          <w:lang w:val="en-US"/>
        </w:rPr>
        <w:t>Association of University Centers on Disabilities</w:t>
      </w:r>
    </w:p>
    <w:p w:rsidR="4E1543B1" w:rsidP="676221C7" w:rsidRDefault="4E1543B1" w14:paraId="2A8E5661" w14:textId="434C13D0">
      <w:pPr>
        <w:pStyle w:val="Normal"/>
      </w:pPr>
      <w:r w:rsidRPr="676221C7" w:rsidR="4E1543B1">
        <w:rPr>
          <w:rFonts w:ascii="Calibri" w:hAnsi="Calibri" w:eastAsia="Calibri" w:cs="Calibri" w:asciiTheme="minorAscii" w:hAnsiTheme="minorAscii" w:eastAsiaTheme="minorAscii" w:cstheme="minorAscii"/>
          <w:noProof w:val="0"/>
          <w:sz w:val="24"/>
          <w:szCs w:val="24"/>
          <w:lang w:val="en-US"/>
        </w:rPr>
        <w:t>Autism Society of America</w:t>
      </w:r>
    </w:p>
    <w:p w:rsidR="44BA724A" w:rsidP="676221C7" w:rsidRDefault="44BA724A" w14:paraId="5BC505D4" w14:textId="4DF06638">
      <w:pPr>
        <w:pStyle w:val="Normal"/>
      </w:pPr>
      <w:r w:rsidRPr="676221C7" w:rsidR="44BA724A">
        <w:rPr>
          <w:rFonts w:ascii="Calibri" w:hAnsi="Calibri" w:eastAsia="Calibri" w:cs="Calibri" w:asciiTheme="minorAscii" w:hAnsiTheme="minorAscii" w:eastAsiaTheme="minorAscii" w:cstheme="minorAscii"/>
          <w:noProof w:val="0"/>
          <w:sz w:val="24"/>
          <w:szCs w:val="24"/>
          <w:lang w:val="en-US"/>
        </w:rPr>
        <w:t>Autistic Self Advocacy Network</w:t>
      </w:r>
    </w:p>
    <w:p w:rsidR="06471166" w:rsidP="676221C7" w:rsidRDefault="06471166" w14:paraId="18EE0311" w14:textId="735C982E">
      <w:pPr>
        <w:pStyle w:val="Normal"/>
      </w:pPr>
      <w:r w:rsidRPr="676221C7" w:rsidR="06471166">
        <w:rPr>
          <w:rFonts w:ascii="Calibri" w:hAnsi="Calibri" w:eastAsia="Calibri" w:cs="Calibri" w:asciiTheme="minorAscii" w:hAnsiTheme="minorAscii" w:eastAsiaTheme="minorAscii" w:cstheme="minorAscii"/>
          <w:noProof w:val="0"/>
          <w:sz w:val="24"/>
          <w:szCs w:val="24"/>
          <w:lang w:val="en-US"/>
        </w:rPr>
        <w:t>Council of Parent Attorneys and Advocates</w:t>
      </w:r>
    </w:p>
    <w:p w:rsidR="0D0C5A1D" w:rsidP="676221C7" w:rsidRDefault="0D0C5A1D" w14:paraId="34258212" w14:textId="76872BCD">
      <w:pPr>
        <w:pStyle w:val="Normal"/>
      </w:pPr>
      <w:r w:rsidRPr="676221C7" w:rsidR="0D0C5A1D">
        <w:rPr>
          <w:rFonts w:ascii="Calibri" w:hAnsi="Calibri" w:eastAsia="Calibri" w:cs="Calibri" w:asciiTheme="minorAscii" w:hAnsiTheme="minorAscii" w:eastAsiaTheme="minorAscii" w:cstheme="minorAscii"/>
          <w:noProof w:val="0"/>
          <w:sz w:val="24"/>
          <w:szCs w:val="24"/>
          <w:lang w:val="en-US"/>
        </w:rPr>
        <w:t>Inclusive Higher Education Accreditation Council</w:t>
      </w:r>
      <w:r w:rsidRPr="676221C7" w:rsidR="06471166">
        <w:rPr>
          <w:rFonts w:ascii="Calibri" w:hAnsi="Calibri" w:eastAsia="Calibri" w:cs="Calibri" w:asciiTheme="minorAscii" w:hAnsiTheme="minorAscii" w:eastAsiaTheme="minorAscii" w:cstheme="minorAscii"/>
          <w:noProof w:val="0"/>
          <w:sz w:val="24"/>
          <w:szCs w:val="24"/>
          <w:lang w:val="en-US"/>
        </w:rPr>
        <w:t xml:space="preserve"> </w:t>
      </w:r>
    </w:p>
    <w:p w:rsidR="73CD6860" w:rsidP="676221C7" w:rsidRDefault="73CD6860" w14:paraId="30DDA126" w14:textId="4B74F9FD">
      <w:pPr>
        <w:pStyle w:val="Normal"/>
      </w:pPr>
      <w:r w:rsidRPr="676221C7" w:rsidR="73CD6860">
        <w:rPr>
          <w:rFonts w:ascii="Calibri" w:hAnsi="Calibri" w:eastAsia="Calibri" w:cs="Calibri" w:asciiTheme="minorAscii" w:hAnsiTheme="minorAscii" w:eastAsiaTheme="minorAscii" w:cstheme="minorAscii"/>
          <w:noProof w:val="0"/>
          <w:sz w:val="24"/>
          <w:szCs w:val="24"/>
          <w:lang w:val="en-US"/>
        </w:rPr>
        <w:t>Inclusive Postsecondary Education Association</w:t>
      </w:r>
    </w:p>
    <w:p w:rsidR="57FA3B43" w:rsidP="676221C7" w:rsidRDefault="57FA3B43" w14:paraId="585D9646" w14:textId="32FD30D2">
      <w:pPr>
        <w:pStyle w:val="Normal"/>
      </w:pPr>
      <w:r w:rsidRPr="676221C7" w:rsidR="57FA3B43">
        <w:rPr>
          <w:rFonts w:ascii="Calibri" w:hAnsi="Calibri" w:eastAsia="Calibri" w:cs="Calibri" w:asciiTheme="minorAscii" w:hAnsiTheme="minorAscii" w:eastAsiaTheme="minorAscii" w:cstheme="minorAscii"/>
          <w:noProof w:val="0"/>
          <w:sz w:val="24"/>
          <w:szCs w:val="24"/>
          <w:lang w:val="en-US"/>
        </w:rPr>
        <w:t>National Coordinating Center Accreditation Workgroup</w:t>
      </w:r>
    </w:p>
    <w:p w:rsidRPr="00516B34" w:rsidR="00ED6A18" w:rsidP="00ED6A18" w:rsidRDefault="00EC3A4A" w14:paraId="1501DCFF" w14:textId="3B5B872F">
      <w:pPr/>
      <w:r w:rsidRPr="676221C7" w:rsidR="00EC3A4A">
        <w:rPr>
          <w:rFonts w:eastAsia="Times New Roman" w:cs="Calibri" w:cstheme="minorAscii"/>
          <w:color w:val="212121"/>
        </w:rPr>
        <w:t>National Down Syndrome Congress</w:t>
      </w:r>
    </w:p>
    <w:p w:rsidR="7A5EAD52" w:rsidRDefault="7A5EAD52" w14:paraId="7332226C" w14:textId="3E1BCBFD">
      <w:r w:rsidRPr="676221C7" w:rsidR="7A5EAD52">
        <w:rPr>
          <w:rFonts w:eastAsia="Times New Roman" w:cs="Calibri" w:cstheme="minorAscii"/>
          <w:color w:val="212121"/>
        </w:rPr>
        <w:t>National Down Syndrome Society</w:t>
      </w:r>
    </w:p>
    <w:p w:rsidRPr="00516B34" w:rsidR="00EC3A4A" w:rsidP="00ED6A18" w:rsidRDefault="00EC3A4A" w14:paraId="38E9449D" w14:textId="6630F1B5">
      <w:pPr/>
      <w:r w:rsidRPr="676221C7" w:rsidR="00EC3A4A">
        <w:rPr>
          <w:rFonts w:eastAsia="Times New Roman" w:cs="Calibri" w:cstheme="minorAscii"/>
          <w:color w:val="212121"/>
        </w:rPr>
        <w:t>The Arc of the U.S.</w:t>
      </w:r>
    </w:p>
    <w:p w:rsidR="11641BAE" w:rsidP="676221C7" w:rsidRDefault="11641BAE" w14:paraId="400988D9" w14:textId="0CC655C0">
      <w:pPr>
        <w:pStyle w:val="Normal"/>
        <w:rPr>
          <w:rFonts w:ascii="Calibri" w:hAnsi="Calibri" w:eastAsia="Calibri" w:cs="Calibri" w:asciiTheme="minorAscii" w:hAnsiTheme="minorAscii" w:eastAsiaTheme="minorAscii" w:cstheme="minorAscii"/>
          <w:noProof w:val="0"/>
          <w:sz w:val="24"/>
          <w:szCs w:val="24"/>
          <w:lang w:val="en-US"/>
        </w:rPr>
      </w:pPr>
      <w:r w:rsidRPr="676221C7" w:rsidR="79DFCC5D">
        <w:rPr>
          <w:rFonts w:ascii="Calibri" w:hAnsi="Calibri" w:eastAsia="Calibri" w:cs="Calibri" w:asciiTheme="minorAscii" w:hAnsiTheme="minorAscii" w:eastAsiaTheme="minorAscii" w:cstheme="minorAscii"/>
          <w:noProof w:val="0"/>
          <w:sz w:val="24"/>
          <w:szCs w:val="24"/>
          <w:lang w:val="en-US"/>
        </w:rPr>
        <w:t xml:space="preserve">Think College, </w:t>
      </w:r>
      <w:r w:rsidRPr="676221C7" w:rsidR="79DFCC5D">
        <w:rPr>
          <w:rFonts w:ascii="Calibri" w:hAnsi="Calibri" w:eastAsia="Calibri" w:cs="Calibri" w:asciiTheme="minorAscii" w:hAnsiTheme="minorAscii" w:eastAsiaTheme="minorAscii" w:cstheme="minorAscii"/>
          <w:noProof w:val="0"/>
          <w:sz w:val="24"/>
          <w:szCs w:val="24"/>
          <w:lang w:val="en-US"/>
        </w:rPr>
        <w:t xml:space="preserve">Institute for Community Inclusion, University of </w:t>
      </w:r>
      <w:r w:rsidRPr="676221C7" w:rsidR="79DFCC5D">
        <w:rPr>
          <w:rFonts w:ascii="Calibri" w:hAnsi="Calibri" w:eastAsia="Calibri" w:cs="Calibri" w:asciiTheme="minorAscii" w:hAnsiTheme="minorAscii" w:eastAsiaTheme="minorAscii" w:cstheme="minorAscii"/>
          <w:noProof w:val="0"/>
          <w:sz w:val="24"/>
          <w:szCs w:val="24"/>
          <w:lang w:val="en-US"/>
        </w:rPr>
        <w:t>Massachusetts</w:t>
      </w:r>
      <w:r w:rsidRPr="676221C7" w:rsidR="79DFCC5D">
        <w:rPr>
          <w:rFonts w:ascii="Calibri" w:hAnsi="Calibri" w:eastAsia="Calibri" w:cs="Calibri" w:asciiTheme="minorAscii" w:hAnsiTheme="minorAscii" w:eastAsiaTheme="minorAscii" w:cstheme="minorAscii"/>
          <w:noProof w:val="0"/>
          <w:sz w:val="24"/>
          <w:szCs w:val="24"/>
          <w:lang w:val="en-US"/>
        </w:rPr>
        <w:t xml:space="preserve"> Boston</w:t>
      </w:r>
    </w:p>
    <w:p w:rsidRPr="00516B34" w:rsidR="00F125ED" w:rsidRDefault="00F125ED" w14:paraId="595F9F84" w14:textId="77777777">
      <w:pPr>
        <w:rPr>
          <w:rFonts w:eastAsia="Cambria" w:cstheme="minorHAnsi"/>
        </w:rPr>
      </w:pPr>
    </w:p>
    <w:p w:rsidR="143A544E" w:rsidP="22A59B73" w:rsidRDefault="143A544E" w14:paraId="1BEA2CBE" w14:textId="0ACC7773"/>
    <w:sectPr w:rsidR="143A544E" w:rsidSect="00D7100E">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5F3F" w:rsidP="006B3629" w:rsidRDefault="009D5F3F" w14:paraId="055D2621" w14:textId="77777777">
      <w:r>
        <w:separator/>
      </w:r>
    </w:p>
  </w:endnote>
  <w:endnote w:type="continuationSeparator" w:id="0">
    <w:p w:rsidR="009D5F3F" w:rsidP="006B3629" w:rsidRDefault="009D5F3F" w14:paraId="65AC1D1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5F3F" w:rsidP="006B3629" w:rsidRDefault="009D5F3F" w14:paraId="2BC0C1A8" w14:textId="77777777">
      <w:r>
        <w:separator/>
      </w:r>
    </w:p>
  </w:footnote>
  <w:footnote w:type="continuationSeparator" w:id="0">
    <w:p w:rsidR="009D5F3F" w:rsidP="006B3629" w:rsidRDefault="009D5F3F" w14:paraId="43C85E6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3A21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EE7838"/>
    <w:multiLevelType w:val="hybridMultilevel"/>
    <w:tmpl w:val="2ED869B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2603204"/>
    <w:multiLevelType w:val="hybridMultilevel"/>
    <w:tmpl w:val="EBBAF5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05437AB"/>
    <w:multiLevelType w:val="hybridMultilevel"/>
    <w:tmpl w:val="87DED320"/>
    <w:lvl w:ilvl="0" w:tplc="04090001">
      <w:start w:val="1"/>
      <w:numFmt w:val="bullet"/>
      <w:lvlText w:val=""/>
      <w:lvlJc w:val="left"/>
      <w:pPr>
        <w:ind w:left="803" w:hanging="360"/>
      </w:pPr>
      <w:rPr>
        <w:rFonts w:hint="default" w:ascii="Symbol" w:hAnsi="Symbol"/>
      </w:rPr>
    </w:lvl>
    <w:lvl w:ilvl="1" w:tplc="04090003" w:tentative="1">
      <w:start w:val="1"/>
      <w:numFmt w:val="bullet"/>
      <w:lvlText w:val="o"/>
      <w:lvlJc w:val="left"/>
      <w:pPr>
        <w:ind w:left="1523" w:hanging="360"/>
      </w:pPr>
      <w:rPr>
        <w:rFonts w:hint="default" w:ascii="Courier New" w:hAnsi="Courier New"/>
      </w:rPr>
    </w:lvl>
    <w:lvl w:ilvl="2" w:tplc="04090005" w:tentative="1">
      <w:start w:val="1"/>
      <w:numFmt w:val="bullet"/>
      <w:lvlText w:val=""/>
      <w:lvlJc w:val="left"/>
      <w:pPr>
        <w:ind w:left="2243" w:hanging="360"/>
      </w:pPr>
      <w:rPr>
        <w:rFonts w:hint="default" w:ascii="Wingdings" w:hAnsi="Wingdings"/>
      </w:rPr>
    </w:lvl>
    <w:lvl w:ilvl="3" w:tplc="04090001" w:tentative="1">
      <w:start w:val="1"/>
      <w:numFmt w:val="bullet"/>
      <w:lvlText w:val=""/>
      <w:lvlJc w:val="left"/>
      <w:pPr>
        <w:ind w:left="2963" w:hanging="360"/>
      </w:pPr>
      <w:rPr>
        <w:rFonts w:hint="default" w:ascii="Symbol" w:hAnsi="Symbol"/>
      </w:rPr>
    </w:lvl>
    <w:lvl w:ilvl="4" w:tplc="04090003" w:tentative="1">
      <w:start w:val="1"/>
      <w:numFmt w:val="bullet"/>
      <w:lvlText w:val="o"/>
      <w:lvlJc w:val="left"/>
      <w:pPr>
        <w:ind w:left="3683" w:hanging="360"/>
      </w:pPr>
      <w:rPr>
        <w:rFonts w:hint="default" w:ascii="Courier New" w:hAnsi="Courier New"/>
      </w:rPr>
    </w:lvl>
    <w:lvl w:ilvl="5" w:tplc="04090005" w:tentative="1">
      <w:start w:val="1"/>
      <w:numFmt w:val="bullet"/>
      <w:lvlText w:val=""/>
      <w:lvlJc w:val="left"/>
      <w:pPr>
        <w:ind w:left="4403" w:hanging="360"/>
      </w:pPr>
      <w:rPr>
        <w:rFonts w:hint="default" w:ascii="Wingdings" w:hAnsi="Wingdings"/>
      </w:rPr>
    </w:lvl>
    <w:lvl w:ilvl="6" w:tplc="04090001" w:tentative="1">
      <w:start w:val="1"/>
      <w:numFmt w:val="bullet"/>
      <w:lvlText w:val=""/>
      <w:lvlJc w:val="left"/>
      <w:pPr>
        <w:ind w:left="5123" w:hanging="360"/>
      </w:pPr>
      <w:rPr>
        <w:rFonts w:hint="default" w:ascii="Symbol" w:hAnsi="Symbol"/>
      </w:rPr>
    </w:lvl>
    <w:lvl w:ilvl="7" w:tplc="04090003" w:tentative="1">
      <w:start w:val="1"/>
      <w:numFmt w:val="bullet"/>
      <w:lvlText w:val="o"/>
      <w:lvlJc w:val="left"/>
      <w:pPr>
        <w:ind w:left="5843" w:hanging="360"/>
      </w:pPr>
      <w:rPr>
        <w:rFonts w:hint="default" w:ascii="Courier New" w:hAnsi="Courier New"/>
      </w:rPr>
    </w:lvl>
    <w:lvl w:ilvl="8" w:tplc="04090005" w:tentative="1">
      <w:start w:val="1"/>
      <w:numFmt w:val="bullet"/>
      <w:lvlText w:val=""/>
      <w:lvlJc w:val="left"/>
      <w:pPr>
        <w:ind w:left="6563" w:hanging="360"/>
      </w:pPr>
      <w:rPr>
        <w:rFonts w:hint="default" w:ascii="Wingdings" w:hAnsi="Wingdings"/>
      </w:rPr>
    </w:lvl>
  </w:abstractNum>
  <w:abstractNum w:abstractNumId="4" w15:restartNumberingAfterBreak="0">
    <w:nsid w:val="31B06139"/>
    <w:multiLevelType w:val="hybridMultilevel"/>
    <w:tmpl w:val="36E8BF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95F2409"/>
    <w:multiLevelType w:val="hybridMultilevel"/>
    <w:tmpl w:val="274C01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D5203F5"/>
    <w:multiLevelType w:val="hybridMultilevel"/>
    <w:tmpl w:val="C9B478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725447402">
    <w:abstractNumId w:val="3"/>
  </w:num>
  <w:num w:numId="2" w16cid:durableId="1924293935">
    <w:abstractNumId w:val="1"/>
  </w:num>
  <w:num w:numId="3" w16cid:durableId="1555123137">
    <w:abstractNumId w:val="0"/>
  </w:num>
  <w:num w:numId="4" w16cid:durableId="1092160475">
    <w:abstractNumId w:val="6"/>
  </w:num>
  <w:num w:numId="5" w16cid:durableId="641663422">
    <w:abstractNumId w:val="2"/>
  </w:num>
  <w:num w:numId="6" w16cid:durableId="1881238042">
    <w:abstractNumId w:val="4"/>
  </w:num>
  <w:num w:numId="7" w16cid:durableId="1012418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ED"/>
    <w:rsid w:val="0003717E"/>
    <w:rsid w:val="00060A77"/>
    <w:rsid w:val="0007433B"/>
    <w:rsid w:val="000832A8"/>
    <w:rsid w:val="000921C1"/>
    <w:rsid w:val="000A477C"/>
    <w:rsid w:val="000A510F"/>
    <w:rsid w:val="000C1970"/>
    <w:rsid w:val="000E32AA"/>
    <w:rsid w:val="00163970"/>
    <w:rsid w:val="00166B16"/>
    <w:rsid w:val="001E0E99"/>
    <w:rsid w:val="00273052"/>
    <w:rsid w:val="00294094"/>
    <w:rsid w:val="002957E2"/>
    <w:rsid w:val="002A247B"/>
    <w:rsid w:val="002B5408"/>
    <w:rsid w:val="002B72F0"/>
    <w:rsid w:val="002F7423"/>
    <w:rsid w:val="00321B47"/>
    <w:rsid w:val="00387D44"/>
    <w:rsid w:val="0039630A"/>
    <w:rsid w:val="003A56B7"/>
    <w:rsid w:val="003B1675"/>
    <w:rsid w:val="003B422D"/>
    <w:rsid w:val="003C5CDD"/>
    <w:rsid w:val="003D6E68"/>
    <w:rsid w:val="003F5228"/>
    <w:rsid w:val="00443515"/>
    <w:rsid w:val="00466378"/>
    <w:rsid w:val="0049534D"/>
    <w:rsid w:val="004A3920"/>
    <w:rsid w:val="00515A16"/>
    <w:rsid w:val="00516B34"/>
    <w:rsid w:val="005362BF"/>
    <w:rsid w:val="00553BB2"/>
    <w:rsid w:val="00556AB6"/>
    <w:rsid w:val="00561418"/>
    <w:rsid w:val="00587E7E"/>
    <w:rsid w:val="005B727B"/>
    <w:rsid w:val="005C17DA"/>
    <w:rsid w:val="005D0B5B"/>
    <w:rsid w:val="005F60B6"/>
    <w:rsid w:val="006203EC"/>
    <w:rsid w:val="00624387"/>
    <w:rsid w:val="006355D2"/>
    <w:rsid w:val="00645C63"/>
    <w:rsid w:val="00650F10"/>
    <w:rsid w:val="0065107D"/>
    <w:rsid w:val="006562D4"/>
    <w:rsid w:val="0069387D"/>
    <w:rsid w:val="00697151"/>
    <w:rsid w:val="006B3629"/>
    <w:rsid w:val="006D5489"/>
    <w:rsid w:val="007119AC"/>
    <w:rsid w:val="00743EC0"/>
    <w:rsid w:val="007611E2"/>
    <w:rsid w:val="0077438C"/>
    <w:rsid w:val="007A3B78"/>
    <w:rsid w:val="007C62B7"/>
    <w:rsid w:val="007E045D"/>
    <w:rsid w:val="007E22E2"/>
    <w:rsid w:val="00851CB4"/>
    <w:rsid w:val="0088673F"/>
    <w:rsid w:val="008C693F"/>
    <w:rsid w:val="008D6904"/>
    <w:rsid w:val="00904E2A"/>
    <w:rsid w:val="00925FB1"/>
    <w:rsid w:val="009401BF"/>
    <w:rsid w:val="009509E4"/>
    <w:rsid w:val="00973FDF"/>
    <w:rsid w:val="00996F5E"/>
    <w:rsid w:val="009B2E47"/>
    <w:rsid w:val="009D5F3F"/>
    <w:rsid w:val="009F2CE4"/>
    <w:rsid w:val="00A00DD3"/>
    <w:rsid w:val="00A01254"/>
    <w:rsid w:val="00A15B38"/>
    <w:rsid w:val="00A41965"/>
    <w:rsid w:val="00A67501"/>
    <w:rsid w:val="00AA0003"/>
    <w:rsid w:val="00AA047E"/>
    <w:rsid w:val="00B01C32"/>
    <w:rsid w:val="00B1437F"/>
    <w:rsid w:val="00B24657"/>
    <w:rsid w:val="00B276D8"/>
    <w:rsid w:val="00BA0630"/>
    <w:rsid w:val="00BC7D01"/>
    <w:rsid w:val="00BD20FE"/>
    <w:rsid w:val="00BF35FA"/>
    <w:rsid w:val="00C03AD2"/>
    <w:rsid w:val="00C06DEE"/>
    <w:rsid w:val="00C1379C"/>
    <w:rsid w:val="00C1389E"/>
    <w:rsid w:val="00C164BE"/>
    <w:rsid w:val="00C9610A"/>
    <w:rsid w:val="00CB0575"/>
    <w:rsid w:val="00D20345"/>
    <w:rsid w:val="00D40A45"/>
    <w:rsid w:val="00D7100E"/>
    <w:rsid w:val="00DD7D11"/>
    <w:rsid w:val="00DE029B"/>
    <w:rsid w:val="00DF6ED9"/>
    <w:rsid w:val="00DF7109"/>
    <w:rsid w:val="00E5789B"/>
    <w:rsid w:val="00EC3A4A"/>
    <w:rsid w:val="00ED6A18"/>
    <w:rsid w:val="00F125ED"/>
    <w:rsid w:val="00F27FD2"/>
    <w:rsid w:val="00F70E22"/>
    <w:rsid w:val="00FB9211"/>
    <w:rsid w:val="00FD68F2"/>
    <w:rsid w:val="01346D65"/>
    <w:rsid w:val="017D9C79"/>
    <w:rsid w:val="02592265"/>
    <w:rsid w:val="0296B568"/>
    <w:rsid w:val="03A982CE"/>
    <w:rsid w:val="04A88103"/>
    <w:rsid w:val="04B5FBB9"/>
    <w:rsid w:val="06471166"/>
    <w:rsid w:val="0B1BB57F"/>
    <w:rsid w:val="0D0C5A1D"/>
    <w:rsid w:val="1093D56A"/>
    <w:rsid w:val="112CA54E"/>
    <w:rsid w:val="11434381"/>
    <w:rsid w:val="11641BAE"/>
    <w:rsid w:val="125C4071"/>
    <w:rsid w:val="12720865"/>
    <w:rsid w:val="143A544E"/>
    <w:rsid w:val="1442AA26"/>
    <w:rsid w:val="14B8DF59"/>
    <w:rsid w:val="1503F352"/>
    <w:rsid w:val="15102DD3"/>
    <w:rsid w:val="15C5BB7C"/>
    <w:rsid w:val="15E27DCC"/>
    <w:rsid w:val="1862CD22"/>
    <w:rsid w:val="19380512"/>
    <w:rsid w:val="193BFEAC"/>
    <w:rsid w:val="1A9579AB"/>
    <w:rsid w:val="1CBC5C43"/>
    <w:rsid w:val="1D93F3E4"/>
    <w:rsid w:val="1DC5D40C"/>
    <w:rsid w:val="1DDA3771"/>
    <w:rsid w:val="1F074FED"/>
    <w:rsid w:val="204432FC"/>
    <w:rsid w:val="22A59B73"/>
    <w:rsid w:val="22BDF3BE"/>
    <w:rsid w:val="2341EA9F"/>
    <w:rsid w:val="23584876"/>
    <w:rsid w:val="2364AC1F"/>
    <w:rsid w:val="23903769"/>
    <w:rsid w:val="24086CF7"/>
    <w:rsid w:val="251D3FB3"/>
    <w:rsid w:val="29E990F6"/>
    <w:rsid w:val="2A457FA3"/>
    <w:rsid w:val="2B637ACB"/>
    <w:rsid w:val="30E3AFBF"/>
    <w:rsid w:val="3245B240"/>
    <w:rsid w:val="33940A25"/>
    <w:rsid w:val="36267422"/>
    <w:rsid w:val="38763CE6"/>
    <w:rsid w:val="3B9E17F4"/>
    <w:rsid w:val="4165931F"/>
    <w:rsid w:val="44BA724A"/>
    <w:rsid w:val="44D0102B"/>
    <w:rsid w:val="46B7EB8C"/>
    <w:rsid w:val="48CE961E"/>
    <w:rsid w:val="4A18CD77"/>
    <w:rsid w:val="4AEA50E8"/>
    <w:rsid w:val="4B803361"/>
    <w:rsid w:val="4B9A043E"/>
    <w:rsid w:val="4C584D5D"/>
    <w:rsid w:val="4C5F10C6"/>
    <w:rsid w:val="4CB58986"/>
    <w:rsid w:val="4D2BC840"/>
    <w:rsid w:val="4E1543B1"/>
    <w:rsid w:val="4FC0D541"/>
    <w:rsid w:val="4FCB0F3D"/>
    <w:rsid w:val="50B2972A"/>
    <w:rsid w:val="52F138A7"/>
    <w:rsid w:val="5309FA29"/>
    <w:rsid w:val="54A5B643"/>
    <w:rsid w:val="57CD9E1C"/>
    <w:rsid w:val="57FA3B43"/>
    <w:rsid w:val="5927CED1"/>
    <w:rsid w:val="5B603767"/>
    <w:rsid w:val="5D614900"/>
    <w:rsid w:val="5D8EB067"/>
    <w:rsid w:val="5DB40F8E"/>
    <w:rsid w:val="5EA70480"/>
    <w:rsid w:val="5FBA6D64"/>
    <w:rsid w:val="62B26A92"/>
    <w:rsid w:val="630A7555"/>
    <w:rsid w:val="63B1A712"/>
    <w:rsid w:val="644478A3"/>
    <w:rsid w:val="65CCC116"/>
    <w:rsid w:val="666D1741"/>
    <w:rsid w:val="676221C7"/>
    <w:rsid w:val="67DD1432"/>
    <w:rsid w:val="6904C565"/>
    <w:rsid w:val="6A75F963"/>
    <w:rsid w:val="6D0684C3"/>
    <w:rsid w:val="6E1A5777"/>
    <w:rsid w:val="7041DC30"/>
    <w:rsid w:val="7214AAA3"/>
    <w:rsid w:val="73CD6860"/>
    <w:rsid w:val="74C20B72"/>
    <w:rsid w:val="79BE44D1"/>
    <w:rsid w:val="79DFCC5D"/>
    <w:rsid w:val="7A331BF7"/>
    <w:rsid w:val="7A5EAD52"/>
    <w:rsid w:val="7D16F83A"/>
    <w:rsid w:val="7ECF4A80"/>
    <w:rsid w:val="7F1CBAE4"/>
    <w:rsid w:val="7FD3BF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C053"/>
  <w15:chartTrackingRefBased/>
  <w15:docId w15:val="{AD8550EC-D5DE-1A4C-B65E-E6F0CC46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125ED"/>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125ED"/>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25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25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25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25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5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5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5ED"/>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125ED"/>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F125ED"/>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F125ED"/>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F125ED"/>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F125ED"/>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F125E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125E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125E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125ED"/>
    <w:rPr>
      <w:rFonts w:eastAsiaTheme="majorEastAsia" w:cstheme="majorBidi"/>
      <w:color w:val="272727" w:themeColor="text1" w:themeTint="D8"/>
    </w:rPr>
  </w:style>
  <w:style w:type="paragraph" w:styleId="Title">
    <w:name w:val="Title"/>
    <w:basedOn w:val="Normal"/>
    <w:next w:val="Normal"/>
    <w:link w:val="TitleChar"/>
    <w:uiPriority w:val="10"/>
    <w:qFormat/>
    <w:rsid w:val="00F125E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125E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125ED"/>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12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5ED"/>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F125ED"/>
    <w:rPr>
      <w:i/>
      <w:iCs/>
      <w:color w:val="404040" w:themeColor="text1" w:themeTint="BF"/>
    </w:rPr>
  </w:style>
  <w:style w:type="paragraph" w:styleId="ListParagraph">
    <w:name w:val="List Paragraph"/>
    <w:basedOn w:val="Normal"/>
    <w:uiPriority w:val="34"/>
    <w:qFormat/>
    <w:rsid w:val="00F125ED"/>
    <w:pPr>
      <w:ind w:left="720"/>
      <w:contextualSpacing/>
    </w:pPr>
  </w:style>
  <w:style w:type="character" w:styleId="IntenseEmphasis">
    <w:name w:val="Intense Emphasis"/>
    <w:basedOn w:val="DefaultParagraphFont"/>
    <w:uiPriority w:val="21"/>
    <w:qFormat/>
    <w:rsid w:val="00F125ED"/>
    <w:rPr>
      <w:i/>
      <w:iCs/>
      <w:color w:val="2F5496" w:themeColor="accent1" w:themeShade="BF"/>
    </w:rPr>
  </w:style>
  <w:style w:type="paragraph" w:styleId="IntenseQuote">
    <w:name w:val="Intense Quote"/>
    <w:basedOn w:val="Normal"/>
    <w:next w:val="Normal"/>
    <w:link w:val="IntenseQuoteChar"/>
    <w:uiPriority w:val="30"/>
    <w:qFormat/>
    <w:rsid w:val="00F125ED"/>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F125ED"/>
    <w:rPr>
      <w:i/>
      <w:iCs/>
      <w:color w:val="2F5496" w:themeColor="accent1" w:themeShade="BF"/>
    </w:rPr>
  </w:style>
  <w:style w:type="character" w:styleId="IntenseReference">
    <w:name w:val="Intense Reference"/>
    <w:basedOn w:val="DefaultParagraphFont"/>
    <w:uiPriority w:val="32"/>
    <w:qFormat/>
    <w:rsid w:val="00F125ED"/>
    <w:rPr>
      <w:b/>
      <w:bCs/>
      <w:smallCaps/>
      <w:color w:val="2F5496" w:themeColor="accent1" w:themeShade="BF"/>
      <w:spacing w:val="5"/>
    </w:rPr>
  </w:style>
  <w:style w:type="character" w:styleId="apple-converted-space" w:customStyle="1">
    <w:name w:val="apple-converted-space"/>
    <w:basedOn w:val="DefaultParagraphFont"/>
    <w:rsid w:val="00F125ED"/>
  </w:style>
  <w:style w:type="character" w:styleId="Hyperlink">
    <w:name w:val="Hyperlink"/>
    <w:basedOn w:val="DefaultParagraphFont"/>
    <w:uiPriority w:val="99"/>
    <w:unhideWhenUsed/>
    <w:rsid w:val="003B1675"/>
    <w:rPr>
      <w:color w:val="0563C1" w:themeColor="hyperlink"/>
      <w:u w:val="single"/>
    </w:rPr>
  </w:style>
  <w:style w:type="character" w:styleId="UnresolvedMention">
    <w:name w:val="Unresolved Mention"/>
    <w:basedOn w:val="DefaultParagraphFont"/>
    <w:uiPriority w:val="99"/>
    <w:semiHidden/>
    <w:unhideWhenUsed/>
    <w:rsid w:val="003B1675"/>
    <w:rPr>
      <w:color w:val="605E5C"/>
      <w:shd w:val="clear" w:color="auto" w:fill="E1DFDD"/>
    </w:rPr>
  </w:style>
  <w:style w:type="character" w:styleId="FollowedHyperlink">
    <w:name w:val="FollowedHyperlink"/>
    <w:basedOn w:val="DefaultParagraphFont"/>
    <w:uiPriority w:val="99"/>
    <w:semiHidden/>
    <w:unhideWhenUsed/>
    <w:rsid w:val="003B1675"/>
    <w:rPr>
      <w:color w:val="954F72" w:themeColor="followedHyperlink"/>
      <w:u w:val="single"/>
    </w:rPr>
  </w:style>
  <w:style w:type="paragraph" w:styleId="Default" w:customStyle="1">
    <w:name w:val="Default"/>
    <w:rsid w:val="000A510F"/>
    <w:pPr>
      <w:autoSpaceDE w:val="0"/>
      <w:autoSpaceDN w:val="0"/>
      <w:adjustRightInd w:val="0"/>
    </w:pPr>
    <w:rPr>
      <w:rFonts w:ascii="Open Sans" w:hAnsi="Open Sans" w:cs="Open Sans"/>
      <w:color w:val="000000"/>
    </w:rPr>
  </w:style>
  <w:style w:type="paragraph" w:styleId="NormalWeb">
    <w:name w:val="Normal (Web)"/>
    <w:basedOn w:val="Normal"/>
    <w:uiPriority w:val="99"/>
    <w:semiHidden/>
    <w:unhideWhenUsed/>
    <w:rsid w:val="00FD68F2"/>
    <w:pPr>
      <w:spacing w:before="100" w:beforeAutospacing="1" w:after="100" w:afterAutospacing="1"/>
    </w:pPr>
    <w:rPr>
      <w:rFonts w:ascii="Times New Roman" w:hAnsi="Times New Roman" w:eastAsia="Times New Roman" w:cs="Times New Roman"/>
      <w:lang w:eastAsia="zh-CN"/>
    </w:rPr>
  </w:style>
  <w:style w:type="paragraph" w:styleId="p1" w:customStyle="1">
    <w:name w:val="p1"/>
    <w:basedOn w:val="Normal"/>
    <w:rsid w:val="009401BF"/>
    <w:rPr>
      <w:rFonts w:ascii="Cambria" w:hAnsi="Cambria" w:eastAsia="Times New Roman" w:cs="Times New Roman"/>
      <w:color w:val="000000"/>
      <w:sz w:val="21"/>
      <w:szCs w:val="21"/>
      <w:lang w:eastAsia="zh-CN"/>
    </w:rPr>
  </w:style>
  <w:style w:type="paragraph" w:styleId="p2" w:customStyle="1">
    <w:name w:val="p2"/>
    <w:basedOn w:val="Normal"/>
    <w:rsid w:val="009401BF"/>
    <w:rPr>
      <w:rFonts w:ascii="Cambria" w:hAnsi="Cambria" w:eastAsia="Times New Roman" w:cs="Times New Roman"/>
      <w:color w:val="000000"/>
      <w:sz w:val="20"/>
      <w:szCs w:val="20"/>
      <w:lang w:eastAsia="zh-CN"/>
    </w:rPr>
  </w:style>
  <w:style w:type="paragraph" w:styleId="p3" w:customStyle="1">
    <w:name w:val="p3"/>
    <w:basedOn w:val="Normal"/>
    <w:rsid w:val="009401BF"/>
    <w:rPr>
      <w:rFonts w:ascii="Courier New" w:hAnsi="Courier New" w:eastAsia="Times New Roman" w:cs="Courier New"/>
      <w:color w:val="000000"/>
      <w:sz w:val="21"/>
      <w:szCs w:val="21"/>
      <w:lang w:eastAsia="zh-CN"/>
    </w:rPr>
  </w:style>
  <w:style w:type="character" w:styleId="s1" w:customStyle="1">
    <w:name w:val="s1"/>
    <w:basedOn w:val="DefaultParagraphFont"/>
    <w:rsid w:val="009401BF"/>
    <w:rPr>
      <w:rFonts w:hint="default" w:ascii="Cambria" w:hAnsi="Cambria"/>
      <w:sz w:val="21"/>
      <w:szCs w:val="21"/>
    </w:rPr>
  </w:style>
  <w:style w:type="character" w:styleId="s2" w:customStyle="1">
    <w:name w:val="s2"/>
    <w:basedOn w:val="DefaultParagraphFont"/>
    <w:rsid w:val="009401BF"/>
    <w:rPr>
      <w:rFonts w:hint="default" w:ascii="Cambria" w:hAnsi="Cambria"/>
      <w:sz w:val="20"/>
      <w:szCs w:val="20"/>
    </w:rPr>
  </w:style>
  <w:style w:type="character" w:styleId="CommentReference">
    <w:name w:val="annotation reference"/>
    <w:basedOn w:val="DefaultParagraphFont"/>
    <w:uiPriority w:val="99"/>
    <w:semiHidden/>
    <w:unhideWhenUsed/>
    <w:rsid w:val="00B24657"/>
    <w:rPr>
      <w:sz w:val="16"/>
      <w:szCs w:val="16"/>
    </w:rPr>
  </w:style>
  <w:style w:type="paragraph" w:styleId="CommentText">
    <w:name w:val="annotation text"/>
    <w:basedOn w:val="Normal"/>
    <w:link w:val="CommentTextChar"/>
    <w:uiPriority w:val="99"/>
    <w:unhideWhenUsed/>
    <w:rsid w:val="00B24657"/>
    <w:rPr>
      <w:sz w:val="20"/>
      <w:szCs w:val="20"/>
    </w:rPr>
  </w:style>
  <w:style w:type="character" w:styleId="CommentTextChar" w:customStyle="1">
    <w:name w:val="Comment Text Char"/>
    <w:basedOn w:val="DefaultParagraphFont"/>
    <w:link w:val="CommentText"/>
    <w:uiPriority w:val="99"/>
    <w:rsid w:val="00B24657"/>
    <w:rPr>
      <w:sz w:val="20"/>
      <w:szCs w:val="20"/>
    </w:rPr>
  </w:style>
  <w:style w:type="paragraph" w:styleId="CommentSubject">
    <w:name w:val="annotation subject"/>
    <w:basedOn w:val="CommentText"/>
    <w:next w:val="CommentText"/>
    <w:link w:val="CommentSubjectChar"/>
    <w:uiPriority w:val="99"/>
    <w:semiHidden/>
    <w:unhideWhenUsed/>
    <w:rsid w:val="00B24657"/>
    <w:rPr>
      <w:b/>
      <w:bCs/>
    </w:rPr>
  </w:style>
  <w:style w:type="character" w:styleId="CommentSubjectChar" w:customStyle="1">
    <w:name w:val="Comment Subject Char"/>
    <w:basedOn w:val="CommentTextChar"/>
    <w:link w:val="CommentSubject"/>
    <w:uiPriority w:val="99"/>
    <w:semiHidden/>
    <w:rsid w:val="00B24657"/>
    <w:rPr>
      <w:b/>
      <w:bCs/>
      <w:sz w:val="20"/>
      <w:szCs w:val="20"/>
    </w:rPr>
  </w:style>
  <w:style w:type="paragraph" w:styleId="Header">
    <w:name w:val="header"/>
    <w:basedOn w:val="Normal"/>
    <w:link w:val="HeaderChar"/>
    <w:uiPriority w:val="99"/>
    <w:unhideWhenUsed/>
    <w:rsid w:val="006B3629"/>
    <w:pPr>
      <w:tabs>
        <w:tab w:val="center" w:pos="4680"/>
        <w:tab w:val="right" w:pos="9360"/>
      </w:tabs>
    </w:pPr>
  </w:style>
  <w:style w:type="character" w:styleId="HeaderChar" w:customStyle="1">
    <w:name w:val="Header Char"/>
    <w:basedOn w:val="DefaultParagraphFont"/>
    <w:link w:val="Header"/>
    <w:uiPriority w:val="99"/>
    <w:rsid w:val="006B3629"/>
  </w:style>
  <w:style w:type="paragraph" w:styleId="Footer">
    <w:name w:val="footer"/>
    <w:basedOn w:val="Normal"/>
    <w:link w:val="FooterChar"/>
    <w:uiPriority w:val="99"/>
    <w:unhideWhenUsed/>
    <w:rsid w:val="006B3629"/>
    <w:pPr>
      <w:tabs>
        <w:tab w:val="center" w:pos="4680"/>
        <w:tab w:val="right" w:pos="9360"/>
      </w:tabs>
    </w:pPr>
  </w:style>
  <w:style w:type="character" w:styleId="FooterChar" w:customStyle="1">
    <w:name w:val="Footer Char"/>
    <w:basedOn w:val="DefaultParagraphFont"/>
    <w:link w:val="Footer"/>
    <w:uiPriority w:val="99"/>
    <w:rsid w:val="006B3629"/>
  </w:style>
  <w:style w:type="paragraph" w:styleId="DocID" w:customStyle="1">
    <w:name w:val="DocID"/>
    <w:qFormat/>
    <w:rsid w:val="00556AB6"/>
    <w:pPr>
      <w:spacing w:after="160" w:line="259" w:lineRule="auto"/>
    </w:pPr>
    <w:rPr>
      <w:rFonts w:ascii="Arial" w:hAnsi="Arial" w:cs="Arial"/>
      <w:sz w:val="16"/>
      <w:szCs w:val="22"/>
    </w:rPr>
  </w:style>
  <w:style w:type="paragraph" w:styleId="Revision">
    <w:name w:val="Revision"/>
    <w:hidden/>
    <w:uiPriority w:val="99"/>
    <w:semiHidden/>
    <w:rsid w:val="00A00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091726">
      <w:bodyDiv w:val="1"/>
      <w:marLeft w:val="0"/>
      <w:marRight w:val="0"/>
      <w:marTop w:val="0"/>
      <w:marBottom w:val="0"/>
      <w:divBdr>
        <w:top w:val="none" w:sz="0" w:space="0" w:color="auto"/>
        <w:left w:val="none" w:sz="0" w:space="0" w:color="auto"/>
        <w:bottom w:val="none" w:sz="0" w:space="0" w:color="auto"/>
        <w:right w:val="none" w:sz="0" w:space="0" w:color="auto"/>
      </w:divBdr>
    </w:div>
    <w:div w:id="1438133812">
      <w:bodyDiv w:val="1"/>
      <w:marLeft w:val="0"/>
      <w:marRight w:val="0"/>
      <w:marTop w:val="0"/>
      <w:marBottom w:val="0"/>
      <w:divBdr>
        <w:top w:val="none" w:sz="0" w:space="0" w:color="auto"/>
        <w:left w:val="none" w:sz="0" w:space="0" w:color="auto"/>
        <w:bottom w:val="none" w:sz="0" w:space="0" w:color="auto"/>
        <w:right w:val="none" w:sz="0" w:space="0" w:color="auto"/>
      </w:divBdr>
    </w:div>
    <w:div w:id="1482313141">
      <w:bodyDiv w:val="1"/>
      <w:marLeft w:val="0"/>
      <w:marRight w:val="0"/>
      <w:marTop w:val="0"/>
      <w:marBottom w:val="0"/>
      <w:divBdr>
        <w:top w:val="none" w:sz="0" w:space="0" w:color="auto"/>
        <w:left w:val="none" w:sz="0" w:space="0" w:color="auto"/>
        <w:bottom w:val="none" w:sz="0" w:space="0" w:color="auto"/>
        <w:right w:val="none" w:sz="0" w:space="0" w:color="auto"/>
      </w:divBdr>
    </w:div>
    <w:div w:id="1540510419">
      <w:bodyDiv w:val="1"/>
      <w:marLeft w:val="0"/>
      <w:marRight w:val="0"/>
      <w:marTop w:val="0"/>
      <w:marBottom w:val="0"/>
      <w:divBdr>
        <w:top w:val="none" w:sz="0" w:space="0" w:color="auto"/>
        <w:left w:val="none" w:sz="0" w:space="0" w:color="auto"/>
        <w:bottom w:val="none" w:sz="0" w:space="0" w:color="auto"/>
        <w:right w:val="none" w:sz="0" w:space="0" w:color="auto"/>
      </w:divBdr>
    </w:div>
    <w:div w:id="202501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Stephanie@ndsccenter.org"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fsapartners.ed.gov/knowledge-center/fsa-handbook/2024-2025/vol2/ch2-program-eligibility-written-arrangements-and-distance-education" TargetMode="External" Id="rId11" /><Relationship Type="http://schemas.openxmlformats.org/officeDocument/2006/relationships/styles" Target="styles.xml" Id="rId5" /><Relationship Type="http://schemas.openxmlformats.org/officeDocument/2006/relationships/hyperlink" Target="https://www.govinfo.gov/link/uscode/20/1401"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0e227d-66a9-4839-ac63-1359af84a10b">
      <Terms xmlns="http://schemas.microsoft.com/office/infopath/2007/PartnerControls"/>
    </lcf76f155ced4ddcb4097134ff3c332f>
    <TaxCatchAll xmlns="8ce2d35f-2ec9-40a5-ba4a-a6f38d28eb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838A97BBDDA64BAFE926C1E1FD1678" ma:contentTypeVersion="17" ma:contentTypeDescription="Create a new document." ma:contentTypeScope="" ma:versionID="d769a6d22d19d6f3fea971edf7993c9e">
  <xsd:schema xmlns:xsd="http://www.w3.org/2001/XMLSchema" xmlns:xs="http://www.w3.org/2001/XMLSchema" xmlns:p="http://schemas.microsoft.com/office/2006/metadata/properties" xmlns:ns2="6e0e227d-66a9-4839-ac63-1359af84a10b" xmlns:ns3="8ce2d35f-2ec9-40a5-ba4a-a6f38d28ebd2" targetNamespace="http://schemas.microsoft.com/office/2006/metadata/properties" ma:root="true" ma:fieldsID="4c9e7bd0d74e26c35f8beae9e582d3e2" ns2:_="" ns3:_="">
    <xsd:import namespace="6e0e227d-66a9-4839-ac63-1359af84a10b"/>
    <xsd:import namespace="8ce2d35f-2ec9-40a5-ba4a-a6f38d28eb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e227d-66a9-4839-ac63-1359af84a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6d96783-f69f-464d-b4f6-7e0963237b5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e2d35f-2ec9-40a5-ba4a-a6f38d28ebd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7d7bc6-02aa-4c37-be2d-080bd4129dc9}" ma:internalName="TaxCatchAll" ma:showField="CatchAllData" ma:web="8ce2d35f-2ec9-40a5-ba4a-a6f38d28ebd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69D24-73F4-42CD-B626-05E2BE672502}">
  <ds:schemaRefs>
    <ds:schemaRef ds:uri="http://schemas.microsoft.com/office/2006/metadata/properties"/>
    <ds:schemaRef ds:uri="http://schemas.microsoft.com/office/infopath/2007/PartnerControls"/>
    <ds:schemaRef ds:uri="6e0e227d-66a9-4839-ac63-1359af84a10b"/>
    <ds:schemaRef ds:uri="8ce2d35f-2ec9-40a5-ba4a-a6f38d28ebd2"/>
  </ds:schemaRefs>
</ds:datastoreItem>
</file>

<file path=customXml/itemProps2.xml><?xml version="1.0" encoding="utf-8"?>
<ds:datastoreItem xmlns:ds="http://schemas.openxmlformats.org/officeDocument/2006/customXml" ds:itemID="{B5B10008-1514-4936-8F3F-7C4F075534E2}">
  <ds:schemaRefs>
    <ds:schemaRef ds:uri="http://schemas.microsoft.com/sharepoint/v3/contenttype/forms"/>
  </ds:schemaRefs>
</ds:datastoreItem>
</file>

<file path=customXml/itemProps3.xml><?xml version="1.0" encoding="utf-8"?>
<ds:datastoreItem xmlns:ds="http://schemas.openxmlformats.org/officeDocument/2006/customXml" ds:itemID="{F804ABDB-1CD2-4DAE-8D07-0E4D8991D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e227d-66a9-4839-ac63-1359af84a10b"/>
    <ds:schemaRef ds:uri="8ce2d35f-2ec9-40a5-ba4a-a6f38d28e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Martha Mock</dc:creator>
  <keywords/>
  <dc:description/>
  <lastModifiedBy>Stephanie Smith Lee</lastModifiedBy>
  <revision>4</revision>
  <dcterms:created xsi:type="dcterms:W3CDTF">2026-05-12T21:38:00.0000000Z</dcterms:created>
  <dcterms:modified xsi:type="dcterms:W3CDTF">2026-05-20T19:00:24.7582597Z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0x0101006D838A97BBDDA64BAFE926C1E1FD1678</vt:lpwstr>
  </property>
  <property fmtid="{D5CDD505-2E9C-101B-9397-08002B2CF9AE}" pid="3" name="MediaServiceImageTags">
    <vt:lpwstr/>
  </property>
  <property fmtid="{D5CDD505-2E9C-101B-9397-08002B2CF9AE}" pid="4" name="DOCXDOCID">
    <vt:lpwstr>DMS_US.377322383.1</vt:lpwstr>
  </property>
  <property fmtid="{D5CDD505-2E9C-101B-9397-08002B2CF9AE}" pid="5" name="DocXFormat">
    <vt:lpwstr>DocID</vt:lpwstr>
  </property>
  <property fmtid="{D5CDD505-2E9C-101B-9397-08002B2CF9AE}" pid="6" name="DocXLocation">
    <vt:lpwstr>NoDocId</vt:lpwstr>
  </property>
</Properties>
</file>